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高新区（新吴区）审计局</w:t>
            </w:r>
            <w:r>
              <w:rPr>
                <w:b w:val="on"/>
                <w:rFonts w:ascii="宋体" w:eastAsia="宋体" w:hAnsi="宋体" w:cs="宋体"/>
                <w:sz w:val="52"/>
                <w:u w:color="auto"/>
              </w:rPr>
              <w:t xml:space="preserve"></w:t>
              <w:br w:type="textWrapping"/>
              <w:t>部门决算公开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部门</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部门</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部门</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部门</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部门</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主管全区审计工作。贯彻执行国家审计方针政策和法律法规，参与起草审计、财政经济方面的规范性文件，提出相关政策建议；负责对区财政收支和法律、法规规定属于审计监督范围的财务收支的真实、合法和效益进行审计监督，维护财政经济秩序，提高财政资金使用效益，促进廉政建设，保障全区经济和社会健康发展；对审计、专项审计调查的结果承担责任，并负有督促被审计单位整改的责任。</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（二）制定并组织实施审计工作发展规划，制定并组织实施年度审计计划，对直接审计、审计调查依法进行审计评价，做出审计决定或提出审计建议。</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向区管委会（区政府）和市审计局提出年度区级预算执行和其它财政收支情况的审计结果报告；受区政府委托向区人大常委会提出区级预算执行和其它财政收支情况的审计工作报告、审计发现问题的纠正和处理结果报告；向区管委会（区政府）和市审计局报告对其它事项的审计与专项审计调查情况及结果；依法向社会公布审计结果；向区管委会（区政府）有关部门和相关单位通报审计情况及审计结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（四）负责直接审计下列事项，出具审计报告，在法定职权范围内做出审计决定或向有关主管机关提出处理处罚的建议：</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1.区级预算执行情况和其它财政收支，区政府直属各部门预算的执行情况、决算和其它财政收支。</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2.所辖街道（功能园区）预算的执行情况、决算和其它财政收支，区级财政转移支付资金。</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3.使用区级财政资金的事业单位和社会团体的财务收支。</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4.区、街道政府投资和以政府投资为主的建设项目的预算执行情况及决算。</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5.国有、区、街道（功能园区）集体企业和国有、集体资本占控股或主导地位的企业的资产、负债及损益。</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6.区管委会（区政府）部门管理和其它单位受政府及其部门委托管理的社会保障基金、社会捐赠资金及其它有关基金、资金的财务收支。</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7.法律、行政法规和地方性法规规定应审计的其它事项。</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（五）按规定对区管领导干部及依法属于区审计监督对象的其它单位主要负责人实施经济责任审计。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（六）组织实施对国家财经法律、法规、规章、政策和宏观调控措施执行情况、财政预算管理或区有资产管理使用等与国家和区财政收支有关的特定事项进行专项审计调查。</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（七）依法检查审计决定执行情况，督促纠正和处理审计发现的问题，依法办理被审计单位对审计决定提请行政复议、行政诉讼或区政府裁决中的有关事项。协助配合有关部门查处相关案件。</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（八）依法指导和监督各街道（功能园区）、部门、企事业单位的内部审计。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（九）核查社会审计机构对依法属于审计监督对象的单位出具的相关审计报告。</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（十）指导和推广信息技术在全区审计领域的应用，组织建设全区审计信息系统。</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（十一）承办市纪委、监委、市审计局和区党工委（区委）、区管委会（区政府）授权和交办的其它事项。</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部门</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部门</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本部门内设机构包括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办公室、财政财务审计处、经济责任审计处、固定资产投资审计处。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本部门下属单位包括：无锡市新吴区审计事务中心。</w:t>
      </w:r>
      <w:r>
        <w:rPr>
          <w:rFonts w:ascii="仿宋" w:eastAsia="仿宋" w:hAnsi="仿宋" w:cs="仿宋"/>
          <w:u w:color="auto"/>
        </w:rPr>
        <w:t/>
      </w:r>
      <w:r>
        <w:rPr>
          <w:rFonts w:ascii="仿宋" w:eastAsia="仿宋" w:hAnsi="仿宋" w:cs="仿宋"/>
          <w:u w:color="auto"/>
        </w:rPr>
        <w:t/>
      </w:r>
    </w:p>
    <w:p w14:paraId="3A5AE81B">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rPr>
        <w:t>2.</w:t>
      </w:r>
      <w:r>
        <w:rPr>
          <w:rFonts w:hint="eastAsia" w:ascii="仿宋" w:hAnsi="仿宋" w:eastAsia="仿宋" w:cs="仿宋"/>
        </w:rPr>
        <w:t>从决算单位构成看</w:t>
      </w:r>
      <w:r>
        <w:rPr>
          <w:rFonts w:hint="eastAsia" w:ascii="仿宋" w:hAnsi="仿宋" w:eastAsia="仿宋" w:cs="仿宋"/>
          <w:lang w:val="en-US"/>
        </w:rPr>
        <w:t>，</w:t>
      </w:r>
      <w:r>
        <w:rPr>
          <w:rFonts w:hint="eastAsia" w:ascii="仿宋" w:hAnsi="仿宋" w:eastAsia="仿宋" w:cs="仿宋"/>
        </w:rPr>
        <w:t>纳入本</w:t>
      </w:r>
      <w:r>
        <w:rPr>
          <w:rFonts w:hint="eastAsia" w:ascii="仿宋" w:hAnsi="仿宋" w:eastAsia="仿宋" w:cs="仿宋"/>
          <w:lang w:val="en-US"/>
        </w:rPr>
        <w:t>部门</w:t>
      </w:r>
      <w:r>
        <w:rPr>
          <w:rFonts w:hint="eastAsia" w:ascii="仿宋" w:hAnsi="仿宋" w:eastAsia="仿宋" w:cs="仿宋"/>
          <w:lang w:val="en-US" w:eastAsia="zh-CN"/>
        </w:rPr>
        <w:t>2024</w:t>
      </w:r>
      <w:r>
        <w:rPr>
          <w:rFonts w:hint="eastAsia" w:ascii="仿宋" w:hAnsi="仿宋" w:eastAsia="仿宋" w:cs="仿宋"/>
        </w:rPr>
        <w:t>年</w:t>
      </w:r>
      <w:r>
        <w:rPr>
          <w:rFonts w:hint="eastAsia" w:ascii="仿宋" w:hAnsi="仿宋" w:eastAsia="仿宋" w:cs="仿宋"/>
          <w:lang w:val="en-US"/>
        </w:rPr>
        <w:t>部门</w:t>
      </w:r>
      <w:r>
        <w:rPr>
          <w:rFonts w:hint="eastAsia" w:ascii="仿宋" w:hAnsi="仿宋" w:eastAsia="仿宋" w:cs="仿宋"/>
        </w:rPr>
        <w:t>汇总决算编制范围的预算单位共计</w:t>
      </w:r>
      <w:r>
        <w:rPr>
          <w:rFonts w:hint="eastAsia" w:ascii="仿宋" w:hAnsi="仿宋" w:eastAsia="仿宋" w:cs="仿宋"/>
          <w:lang w:val="en-US"/>
          <w:u/>
        </w:rPr>
        <w:t/>
      </w:r>
      <w:r>
        <w:rPr>
          <w:rFonts w:ascii="仿宋" w:eastAsia="仿宋" w:hAnsi="仿宋" w:cs="仿宋"/>
          <w:u w:color="auto"/>
        </w:rPr>
        <w:t/>
      </w:r>
      <w:r>
        <w:rPr>
          <w:rFonts w:ascii="仿宋" w:eastAsia="仿宋" w:hAnsi="仿宋" w:cs="仿宋"/>
          <w:u w:color="auto"/>
        </w:rPr>
        <w:t>2</w:t>
      </w:r>
      <w:r>
        <w:rPr>
          <w:rFonts w:ascii="仿宋" w:eastAsia="仿宋" w:hAnsi="仿宋" w:cs="仿宋"/>
          <w:u w:color="auto"/>
        </w:rPr>
        <w:t/>
      </w:r>
      <w:r>
        <w:rPr>
          <w:rFonts w:ascii="仿宋" w:eastAsia="仿宋" w:hAnsi="仿宋" w:cs="仿宋"/>
          <w:u w:color="auto"/>
        </w:rPr>
        <w:t/>
      </w:r>
      <w:r>
        <w:rPr>
          <w:rFonts w:hint="eastAsia" w:ascii="仿宋" w:hAnsi="仿宋" w:eastAsia="仿宋" w:cs="仿宋"/>
        </w:rPr>
        <w:t>家</w:t>
      </w:r>
      <w:r>
        <w:rPr>
          <w:rFonts w:hint="eastAsia" w:ascii="仿宋" w:hAnsi="仿宋" w:eastAsia="仿宋" w:cs="仿宋"/>
          <w:lang w:val="en-US"/>
        </w:rPr>
        <w:t>，</w:t>
      </w:r>
      <w:r>
        <w:rPr>
          <w:rFonts w:hint="eastAsia" w:ascii="仿宋" w:hAnsi="仿宋" w:eastAsia="仿宋" w:cs="仿宋"/>
        </w:rPr>
        <w:t>具体包括</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高新区（新吴区）审计局（本级），无锡市新吴区审计事务中心。</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（一）旗帜鲜明讲政治，强化党对审计工作的领导</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夯实思想根基，增强政治定力。坚定不移把政治建设摆在首位，坚持把学习贯彻习近平新时代中国特色社会主义思想列为第一议题，全年开展政治理论学习13次，树牢政治机关意识。认真组织开展党的二十大精神、党的二十届三中全会精神学习宣传，把党中央的决策部署细化为具体措施，贯彻到审计工作全过程各方面，擦亮“红色审计”的政治底色。</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规范请示报告，把握政治属性。强化党管审计工作意识，坚持把重大事项请示报告作为重要政治纪律和政治规矩，对照请示报告任务清单，规范请示报告程序，全年向区委审计委员会请示报告重大事项18项，向市委审计委员会及办公室请示报告重大事项5项，获区委、区政府主要领导重要指示批示10余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强化服务保障，提升政治功能。扎实履行区委审计委员会办公室职责，科学谋划推进全区审计工作，明确全区审计工作开展的思路和要点，把思想和行动统一到区委、区政府决策部署上来。全年提请并筹备召开区委审计委员会会议2次，全区审计工作会议1次，研究审议审计项目计划、同级审工作报告等重要事项，牢牢把握审计工作正确方向。</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（二）善作善成重实干，切实履行审计监督职责</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立足经济监督职能定位，全年共完成计划内审计项目17项，查出各类问题109个，涉及问题金额5.4亿元，提出审计建议29条；完成区委、区政府和上级审计机关交办事项6项；开展政府投资审计项目513项，累计调整各类不合理款项7.32亿元。</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规范管好“国家钱袋”。充分发挥财政资金“压舱石”的作用，组织开展区本级年度预算执行和决算草案审计，促进积极财政政策提质增效，深化财政预算制度改革，推动2.81亿元资金缴入国库；组织开展无锡科技职业学院财务收支审计，助力规范高校预决算编制，严格预算执行，推动2869.57万元资金上缴财政。加强政府投资项目建设资金的监管，从源头控制，组织开展招标审计63项，调整金额1.76亿元；对349项工程开展结算、竣工决算审计，核减工程款项5.56亿元，切实把牢资金关。</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助力画好“发展蓝图”。组织开展稳外贸稳外资相关专项资金绩效审计，推动外资提质增效、外贸稳规模稳结构；组织开展重点论坛峰会经费和绩效情况专项审计，推动提升办展办会长期效果，促进产研交流合作，助力完善经济交流、合作发展的重要平台；组织开展基层镇街国资管理情况专项审计调查，推动基层优化财政管理、盘活资源、促进发展，助力基层优化资源配置、夯实发展基础。持续聚焦重大投资项目加强审计监督，对55个项目实施全过程跟踪审计，强化政策、资金等要素保障，加快推动项目落实。</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织密权力“制度笼子”。持续推动强化对领导干部权力运行的制约和监督，组织对新安街道、城管、退役军人事务局4位党政领导干部、智慧新吴和公交公司2位国有企业主要负责人开展任期经济责任审计，发现相关问题线索6条移送至区纪委进一步调查，处理领导干部1名，进一步促进干部依法行政、高效履职。</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全力呵护“民生温度”。聚焦民生急难愁盼问题，组织开展社区卫生服务中心运行情况的专项审计调查，为基层医疗卫生服务发展建言献策，助力提升全区居民医疗卫生服务水平；组织开展停车场建设管理运行情况专项审计调查，对停车场设计的合理性进行分析，对建成后缓解交通拥堵等问题的实效性进行核查，有力护航民生工程落地落实。</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（三）同频共振聚合力，不断深化机关自身建设</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强化党建引领，筑牢战斗堡垒。坚持把党建工作同推进审计业务工作结合起来，找准切入点和突破口，有效发挥党建引领作用，推动党建各项目标任务落地落实。坚持党建工作跟着审计项目走，实施“审计组+临时党小组”工作模式，确保组织生活不断档；积极贯彻区委“三联三强基”党员干部下沉基层常态化长效化工作部署，与结对社区力量联配，切实服务基层治理；持续深化“新审飞凤”党建品牌，积极申报基层党建书记项目，推动党建业务相融并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做实廉政教育，守住廉洁底线。坚持把党风廉政建设责任抓在手上、扛在肩上、落实到行动上，局党组与班子成员、分管领导与各业务处室负责人层层签订廉政责任书，形成横向到边、纵向到底的责任制网络。全年部署党风廉政建设工作3次，在全局范围内开展廉政风险点排查，组织开展廉政警示教育活动8次，开展各类廉政谈话20余人次；严格落实廉政监督员制度，全面强化审计现场监督管理，常态化开展廉政回访工作，督促审计人员做到依法审计、廉洁审计、文明审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立足岗位练兵，锤炼队伍素质。采取“请进来、走出去”的方式，积极组织和参加本系统内的各类业务培训，加强专业知识学习，拓宽知识面，提升干部业务能力和综合素养。结合工作实际，落实“审计实务导师制”制度，指派业务骨干对年轻审计干部进行审计实务“一对一”传帮带，毫无保留地传授审计专业技能和工作经验做法，帮助他们提高业务技能，让“审计新兵”尽快成长为“审计标兵”，全力推动审计干部队伍建设取得实效。</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高新区（新吴区）审计局</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部门</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color w:val="000000"/>
                <w:lang w:eastAsia="ar-SA"/>
              </w:rPr>
              <w:t>高新区（新吴区）审计局</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1,362.96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1,073.83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73.72</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24.90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190.51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1,362.96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1,362.96</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1,362.96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1,362.96</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1,362.96</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1,362.96</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一般公共服务支出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1,073.83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1,073.83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审计事务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1,073.83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1,073.83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2010801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170.09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170.09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2010804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审计业务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334.75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334.75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2010850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568.99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568.99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73.72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73.72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73.72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73.72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49.15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49.15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8.01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8.01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16.88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16.88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190.51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190.51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190.51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190.51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62.51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62.51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42.90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42.90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85.09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85.09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1,028.20</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334.75</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一般公共服务支出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1,073.83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739.08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334.75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审计事务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1,073.83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739.08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334.75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2010801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170.09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170.09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2010804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审计业务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334.75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334.75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2010850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事业运行</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568.99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568.99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73.72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73.72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73.72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73.72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49.15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49.15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24.57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24.90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24.90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8.01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8.01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16.88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16.88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190.51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190.51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190.51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190.51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62.51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62.51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42.90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42.90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85.09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85.09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1,362.96</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1,073.83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1,073.83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73.72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73.72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24.90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24.90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190.51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190.51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1,362.96</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1,362.96</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1,028.20</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334.75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1,073.83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739.08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334.75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审计事务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1,073.83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739.08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334.75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2010801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170.09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170.09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2010804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审计业务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334.75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334.75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2010850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568.99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568.99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73.72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73.72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73.72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73.72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49.15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49.15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24.57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24.90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24.90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8.01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8.01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16.88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16.88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190.51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190.51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190.51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190.51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62.51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62.51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42.90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42.90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85.09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85.09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1,028.20</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983.14</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45.07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961.56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961.56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115.82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115.82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218.96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218.96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57.30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57.30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403.30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403.30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49.15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49.15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24.57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24.57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24.90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24.90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5.05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62.51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62.51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45.07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45.07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6.71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6.71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1.96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2.87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2.87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10.03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2.07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15.18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15.18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5.91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5.91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21.58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21.58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1,362.96</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1,028.20</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334.75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1,073.83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739.08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334.75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审计事务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1,073.83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739.08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334.75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2010801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170.09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170.09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2010804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审计业务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334.75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334.75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2010850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568.99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568.99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73.72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73.72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73.72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73.72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49.15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49.15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24.57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24.90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24.90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8.01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8.01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16.88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190.51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190.51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190.51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190.51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62.51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62.51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42.90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42.90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85.09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85.09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1,028.20</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983.14</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45.07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961.56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961.56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115.82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115.82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218.96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218.96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57.30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57.30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403.30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403.30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49.15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49.15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24.57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24.57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24.90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24.90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5.05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62.51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62.51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45.07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45.07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6.71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6.71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1.96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2.87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2.87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10.03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2.07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15.18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15.18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5.91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21.58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21.58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2.91</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2.91</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9.99</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2.87</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2.87</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9.98</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102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240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42</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部门</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部门</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12.17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12.17</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1.75</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1.78</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2.90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0.60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4.94</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0.20</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部门</w:t>
            </w:r>
            <w:r>
              <w:rPr>
                <w:color w:val="000000"/>
                <w:rFonts w:ascii="仿宋" w:eastAsia="仿宋" w:hAnsi="仿宋" w:cs="仿宋"/>
                <w:u w:color="auto"/>
              </w:rPr>
              <w:t>名称：</w:t>
            </w:r>
            <w:r>
              <w:rPr>
                <w:rFonts w:hint="eastAsia" w:ascii="仿宋" w:hAnsi="仿宋" w:eastAsia="仿宋" w:cs="仿宋"/>
              </w:rPr>
              <w:t>高新区（新吴区）审计局</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5.48</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5.48</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部门</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2024年度收入、支出决算总计1,362.96万元。与上年相比，收、支总计各增加287.34万元，增长26.71%。其中：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（一）收入决算总计1,362.96万元。包括：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1.本年收入决算合计1,362.96万元。与上年相比，增加287.34万元，增长26.71%，变动原因：人员晋升，工资增加，财政收入相应增加。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（二）支出决算总计1,362.96万元。包括：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1.本年支出决算合计1,362.96万元。与上年相比，增加287.34万元，增长26.71%，变动原因：人员晋升，工资增加，财政支出增加。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1,362.96万元，其中：财政拨款收入1,362.96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2024年度本年支出决算合计1,362.96万元，其中：基本支出1,028.2万元，占75.44%；项目支出334.75万元，占24.56%；上缴上级支出0万元，占0%；经营支出0万元，占0%；对附属单位补助支出0万元，占0%。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2024年度财政拨款收入、支出决算总计1,362.96万元。与上年相比，收、支总计各增加287.34万元，增长26.71%，变动原因：人员晋升，工资增加，财政收支相应增加。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2024年度财政拨款支出决算1,362.96万元，占本年支出合计的100%。与2024年度财政拨款支出年初预算1,131.73万元相比，完成年初预算的120.43%。其中：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（一）一般公共服务支出（类）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1.审计事务（款）行政运行（项）。年初预算145.8万元，支出决算170.09万元，完成年初预算的116.66%。决算数与年初预算数的差异原因：人员晋升，工资增加，支出增加。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2.审计事务（款）审计业务（项）。年初预算339万元，支出决算334.75万元，完成年初预算的98.75%。决算数与年初预算数的差异原因：厉行节约，减少支出。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3.审计事务（款）事业运行（项）。年初预算359.03万元，支出决算568.99万元，完成年初预算的158.48%。决算数与年初预算数的差异原因：人员晋升，工资增加，支出增加。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1.行政事业单位养老支出（款）机关事业单位基本养老保险缴费支出（项）。年初预算48.17万元，支出决算49.15万元，完成年初预算的102.03%。决算数与年初预算数的差异原因：职级晋升，基数增加，支出增加。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2.行政事业单位养老支出（款）机关事业单位职业年金缴费支出（项）。年初预算24.09万元，支出决算24.57万元，完成年初预算的101.99%。决算数与年初预算数的差异原因：职级晋升，基数增加，支出增加。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1.行政事业单位医疗（款）行政单位医疗（项）。年初预算8.68万元，支出决算8.01万元，完成年初预算的92.28%。决算数与年初预算数的差异原因：医疗费比例调整，支出减少。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2.行政事业单位医疗（款）事业单位医疗（项）。年初预算19.42万元，支出决算16.88万元，完成年初预算的86.92%。决算数与年初预算数的差异原因：医疗费比例调整，支出减少。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1.住房改革支出（款）住房公积金（项）。年初预算59.23万元，支出决算62.51万元，完成年初预算的105.54%。决算数与年初预算数的差异原因：职级晋升，基数增加，公积金增加。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2.住房改革支出（款）提租补贴（项）。年初预算38.5万元，支出决算42.9万元，完成年初预算的111.43%。决算数与年初预算数的差异原因：人员增加，提租补贴增加。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3.住房改革支出（款）购房补贴（项）。年初预算89.81万元，支出决算85.09万元，完成年初预算的94.74%。决算数与年初预算数的差异原因：需缴纳购房补贴的人员减少，购房补贴减少。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2024年度财政拨款基本支出决算1,028.2万元，其中：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（一）人员经费983.14万元。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（二）公用经费45.07万元。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主要包括：办公费、邮电费、差旅费、维修（护）费、公务接待费、工会经费、福利费、其他交通费用、其他商品和服务支出。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2024年度一般公共预算财政拨款支出决算1,362.96万元。与上年相比，增加287.34万元，增长26.71%，变动原因：审计业务增加，经费增加，支出增加。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2024年度一般公共预算财政拨款基本支出决算1,028.2万元，其中：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（一）人员经费983.14万元。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（二）公用经费45.07万元。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主要包括：办公费、邮电费、差旅费、维修（护）费、公务接待费、工会经费、福利费、其他交通费用、其他商品和服务支出。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2.87万元（其中：一般公共预算支出2.87万元；政府性基金预算支出0万元；国有资本经营预算支出0万元）。与上年相比，减少0.04万元，变动原因：厉行节约，减少支出。其中，因公出国（境）费支出0万元，占“三公”经费的0%；公务用车购置及运行维护费支出0万元，占“三公”经费的0%；公务接待费支出2.87万元，占“三公”经费的100%。2024年度财政拨款“三公”经费支出预算2.91万元（其中：一般公共预算支出2.91万元；政府性基金预算支出0万元；国有资本经营预算支出0万元）。决算数与预算数的差异原因：厉行节约，减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2.91万元（其中：一般公共预算支出2.91万元；政府性基金预算支出0万元；国有资本经营预算支出0万元），支出决算2.87万元（其中：一般公共预算支出2.87万元；政府性基金预算支出0万元；国有资本经营预算支出0万元），完成调整后预算的98.63%，决算数与预算数的差异原因：厉行节约，减少支出。其中：国内公务接待支出2.87万元，接待102批次，240人次，开支内容：接待人员就餐；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9.99万元（其中：一般公共预算支出9.99万元；政府性基金预算支出0万元；国有资本经营预算支出0万元），支出决算9.98万元（其中：一般公共预算支出9.98万元；政府性基金预算支出0万元；国有资本经营预算支出0万元），完成调整后预算的99.9%，决算数与预算数的差异原因：厉行节约，减少支出。2024年度全年组织培训2个，组织培训42人次，开支内容：培训师资费、场地费、教材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2024年度机关运行经费支出决算12.17万元（其中：一般公共预算支出12.17万元；政府性基金预算支出0万元；国有资本经营预算支出0万元）。与上年相比，减少0.66万元，减少5.14%，变动原因：厉行节约，减少支出。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5.48万元，其中：政府采购货物支出5.48万元、政府采购工程支出0万元、政府采购服务支出0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部门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2024年度，本部门共0个项目开展了财政重点绩效评价，涉及财政性资金合计0万元；本部门未开展部门整体支出财政重点绩效评价，涉及财政性资金0万元。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本部门组织所属单位共对上年度已实施完成的0个项目开展了绩效自评价，涉及财政性资金合计0万元；本部门组织所属单位共开展1项单位整体支出绩效自评价，涉及财政性资金合计1,362.96万元。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本部门共1个项目开展了部门评价，涉及财政性资金合计334.75万元；本部门开展1个部门整体支出部门评价，涉及财政性资金1,362.96万元。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十九、一般公共服务支出(类)审计事务(款)行政运行(项)</w:t>
      </w:r>
      <w:r>
        <w:rPr>
          <w:b w:val="on"/>
          <w:rFonts w:ascii="仿宋" w:eastAsia="仿宋" w:hAnsi="仿宋" w:cs="仿宋"/>
          <w:u w:color="auto"/>
        </w:rPr>
        <w:t>：</w:t>
      </w:r>
      <w:r>
        <w:rPr>
          <w:rFonts w:hint="eastAsia" w:ascii="仿宋" w:hAnsi="仿宋" w:eastAsia="仿宋" w:cs="仿宋"/>
        </w:rPr>
        <w:t>反映行政单位（包括实行公务员管理的事业单位）的基本支出。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二十、一般公共服务支出(类)审计事务(款)审计业务(项)</w:t>
      </w:r>
      <w:r>
        <w:rPr>
          <w:b w:val="on"/>
          <w:rFonts w:ascii="仿宋" w:eastAsia="仿宋" w:hAnsi="仿宋" w:cs="仿宋"/>
          <w:u w:color="auto"/>
        </w:rPr>
        <w:t>：</w:t>
      </w:r>
      <w:r>
        <w:rPr>
          <w:rFonts w:hint="eastAsia" w:ascii="仿宋" w:hAnsi="仿宋" w:eastAsia="仿宋" w:cs="仿宋"/>
        </w:rPr>
        <w:t>反映各级审计机构的审计、专项审计调查、聘请社会审计组织人员及技术专家等方面的支出。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二十一、一般公共服务支出(类)审计事务(款)事业运行(项)</w:t>
      </w:r>
      <w:r>
        <w:rPr>
          <w:b w:val="on"/>
          <w:rFonts w:ascii="仿宋" w:eastAsia="仿宋" w:hAnsi="仿宋" w:cs="仿宋"/>
          <w:u w:color="auto"/>
        </w:rPr>
        <w:t>：</w:t>
      </w:r>
      <w:r>
        <w:rPr>
          <w:rFonts w:hint="eastAsia" w:ascii="仿宋" w:hAnsi="仿宋" w:eastAsia="仿宋" w:cs="仿宋"/>
        </w:rPr>
        <w:t>反映事业单位的基本支出，不包括行政单位（包括实行公务员管理的事业单位）后勤服务中心、医务室等附属事业单位。</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二十四、卫生健康支出(类)行政事业单位医疗(款)行政单位医疗(项)</w:t>
      </w:r>
      <w:r>
        <w:rPr>
          <w:b w:val="on"/>
          <w:rFonts w:ascii="仿宋" w:eastAsia="仿宋" w:hAnsi="仿宋" w:cs="仿宋"/>
          <w:u w:color="auto"/>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高新区（新吴区）审计局</w:t>
    </w:r>
    <w:r>
      <w:rPr>
        <w:rFonts w:hint="eastAsia"/>
        <w:lang w:val="en-US" w:eastAsia="zh-CN"/>
      </w:rPr>
      <w:t>2024</w:t>
    </w:r>
    <w:r>
      <w:rPr>
        <w:rFonts w:hint="eastAsia"/>
        <w:lang w:val="en-US"/>
        <w:u/>
      </w:rPr>
      <w:t>年度</w:t>
    </w:r>
    <w:r>
      <w:rPr>
        <w:u w:color="auto"/>
      </w:rPr>
      <w:t>部门</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