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pPr>
              <w:pStyle w:val="8"/>
              <w:spacing w:line="360" w:lineRule="auto"/>
              <w:jc w:val="both"/>
              <w:rPr>
                <w:rFonts w:hint="eastAsia" w:ascii="仿宋" w:hAnsi="仿宋" w:eastAsia="仿宋" w:cs="仿宋"/>
                <w:b/>
                <w:bCs/>
                <w:color w:val="FF0000"/>
                <w:sz w:val="22"/>
                <w:szCs w:val="22"/>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tcPr>
          <w:p>
            <w:pPr>
              <w:ind w:right="284" w:rightChars="129"/>
              <w:jc w:val="center"/>
              <w:rPr>
                <w:rFonts w:hint="eastAsia" w:ascii="宋体" w:hAnsi="宋体" w:eastAsia="宋体" w:cs="宋体"/>
                <w:b/>
                <w:bCs/>
                <w:sz w:val="52"/>
                <w:szCs w:val="52"/>
                <w:lang w:val="en-US"/>
              </w:rPr>
            </w:pPr>
            <w:r>
              <w:rPr>
                <w:rFonts w:ascii="宋体" w:hAnsi="宋体" w:eastAsia="宋体" w:cs="宋体"/>
                <w:b/>
                <w:sz w:val="52"/>
                <w:u w:color="auto"/>
              </w:rPr>
              <w:t>2024年度</w:t>
            </w:r>
            <w:r>
              <w:rPr>
                <w:rFonts w:ascii="宋体" w:hAnsi="宋体" w:eastAsia="宋体" w:cs="宋体"/>
                <w:b/>
                <w:sz w:val="52"/>
                <w:u w:color="auto"/>
              </w:rPr>
              <w:cr/>
            </w:r>
            <w:r>
              <w:rPr>
                <w:rFonts w:ascii="宋体" w:hAnsi="宋体" w:eastAsia="宋体" w:cs="宋体"/>
                <w:b/>
                <w:sz w:val="52"/>
                <w:u w:color="auto"/>
              </w:rPr>
              <w:br w:type="textWrapping"/>
            </w:r>
            <w:r>
              <w:rPr>
                <w:rFonts w:ascii="宋体" w:hAnsi="宋体" w:eastAsia="宋体" w:cs="宋体"/>
                <w:b/>
                <w:sz w:val="52"/>
                <w:u w:color="auto"/>
              </w:rPr>
              <w:t>高新区（新吴区）应急管理局（本级）</w:t>
            </w:r>
            <w:r>
              <w:rPr>
                <w:rFonts w:ascii="宋体" w:hAnsi="宋体" w:eastAsia="宋体" w:cs="宋体"/>
                <w:b/>
                <w:sz w:val="52"/>
                <w:u w:color="auto"/>
              </w:rPr>
              <w:cr/>
            </w:r>
            <w:r>
              <w:rPr>
                <w:rFonts w:ascii="宋体" w:hAnsi="宋体" w:eastAsia="宋体" w:cs="宋体"/>
                <w:b/>
                <w:sz w:val="52"/>
                <w:u w:color="auto"/>
              </w:rPr>
              <w:br w:type="textWrapping"/>
            </w:r>
            <w:r>
              <w:rPr>
                <w:rFonts w:ascii="宋体" w:hAnsi="宋体" w:eastAsia="宋体" w:cs="宋体"/>
                <w:b/>
                <w:sz w:val="52"/>
                <w:u w:color="auto"/>
              </w:rPr>
              <w:t>单位决算公开</w:t>
            </w:r>
          </w:p>
        </w:tc>
      </w:tr>
    </w:tbl>
    <w:p>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cols w:space="720" w:num="1"/>
          <w:formProt w:val="0"/>
          <w:titlePg/>
          <w:docGrid w:linePitch="100" w:charSpace="0"/>
        </w:sectPr>
      </w:pPr>
    </w:p>
    <w:p>
      <w:pPr>
        <w:pStyle w:val="8"/>
        <w:spacing w:before="4"/>
        <w:rPr>
          <w:rFonts w:hint="eastAsia" w:ascii="华文仿宋" w:hAnsi="华文仿宋" w:eastAsia="华文仿宋" w:cs="仿宋"/>
          <w:sz w:val="10"/>
        </w:rPr>
      </w:pPr>
    </w:p>
    <w:p>
      <w:pPr>
        <w:pStyle w:val="3"/>
        <w:tabs>
          <w:tab w:val="left" w:pos="880"/>
        </w:tabs>
        <w:spacing w:line="718" w:lineRule="exact"/>
        <w:ind w:right="313"/>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spacing w:before="7"/>
        <w:rPr>
          <w:rFonts w:hint="eastAsia" w:ascii="仿宋" w:hAnsi="仿宋" w:eastAsia="仿宋" w:cs="仿宋"/>
          <w:sz w:val="27"/>
        </w:rPr>
      </w:pPr>
    </w:p>
    <w:p>
      <w:pPr>
        <w:pStyle w:val="8"/>
        <w:spacing w:line="360" w:lineRule="auto"/>
        <w:ind w:left="671" w:leftChars="300" w:hanging="11"/>
        <w:jc w:val="both"/>
        <w:outlineLvl w:val="0"/>
        <w:rPr>
          <w:rFonts w:hint="eastAsia" w:ascii="黑体" w:hAnsi="黑体" w:eastAsia="黑体" w:cs="黑体"/>
        </w:rPr>
      </w:pPr>
      <w:r>
        <w:rPr>
          <w:rFonts w:hint="eastAsia" w:ascii="黑体" w:hAnsi="黑体" w:eastAsia="黑体" w:cs="黑体"/>
        </w:rPr>
        <w:t xml:space="preserve">第一部分 </w:t>
      </w:r>
      <w:r>
        <w:rPr>
          <w:rFonts w:hint="eastAsia" w:ascii="黑体" w:hAnsi="黑体" w:eastAsia="黑体" w:cs="黑体"/>
          <w:lang w:val="en-US"/>
        </w:rPr>
        <w:t>单位</w:t>
      </w:r>
      <w:r>
        <w:rPr>
          <w:rFonts w:hint="eastAsia" w:ascii="黑体" w:hAnsi="黑体" w:eastAsia="黑体" w:cs="黑体"/>
        </w:rPr>
        <w:t>概况</w:t>
      </w:r>
    </w:p>
    <w:p>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一、主要职能</w:t>
      </w:r>
    </w:p>
    <w:p>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rPr>
        <w:t>单位</w:t>
      </w:r>
      <w:r>
        <w:rPr>
          <w:rFonts w:hint="eastAsia" w:ascii="仿宋" w:hAnsi="仿宋" w:eastAsia="仿宋" w:cs="仿宋"/>
        </w:rPr>
        <w:t>机构设置及决算单位构成情况</w:t>
      </w:r>
    </w:p>
    <w:p>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年度主要工作完成情况</w:t>
      </w:r>
    </w:p>
    <w:p>
      <w:pPr>
        <w:pStyle w:val="8"/>
        <w:spacing w:line="360" w:lineRule="auto"/>
        <w:ind w:left="671" w:leftChars="300" w:hanging="11"/>
        <w:jc w:val="both"/>
        <w:rPr>
          <w:rFonts w:hint="eastAsia" w:ascii="黑体" w:hAnsi="黑体" w:eastAsia="黑体" w:cs="黑体"/>
        </w:rPr>
      </w:pPr>
      <w:r>
        <w:rPr>
          <w:rFonts w:hint="eastAsia" w:ascii="黑体" w:hAnsi="黑体" w:eastAsia="黑体" w:cs="黑体"/>
          <w:lang w:val="en-US"/>
        </w:rPr>
        <w:t xml:space="preserve">第二部分 </w:t>
      </w:r>
      <w:r>
        <w:rPr>
          <w:rFonts w:hint="eastAsia" w:ascii="黑体" w:hAnsi="黑体" w:eastAsia="黑体" w:cs="黑体"/>
          <w:lang w:val="en-US" w:eastAsia="zh-CN"/>
        </w:rPr>
        <w:t>2024</w:t>
      </w:r>
      <w:r>
        <w:rPr>
          <w:rFonts w:hint="eastAsia" w:ascii="黑体" w:hAnsi="黑体" w:eastAsia="黑体" w:cs="黑体"/>
          <w:lang w:val="en-US"/>
        </w:rPr>
        <w:t>年度</w:t>
      </w:r>
      <w:r>
        <w:rPr>
          <w:rFonts w:ascii="黑体" w:hAnsi="黑体" w:eastAsia="黑体" w:cs="黑体"/>
          <w:u w:color="auto"/>
        </w:rPr>
        <w:t>单位决算表</w:t>
      </w:r>
    </w:p>
    <w:p>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spacing w:val="-2"/>
        </w:rPr>
        <w:t>一、收入支出决算总表</w:t>
      </w:r>
    </w:p>
    <w:p>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rPr>
        <w:t>二、收入决算表</w:t>
      </w:r>
    </w:p>
    <w:p>
      <w:pPr>
        <w:pStyle w:val="8"/>
        <w:spacing w:line="360" w:lineRule="auto"/>
        <w:ind w:left="671" w:leftChars="300" w:hanging="11"/>
        <w:jc w:val="both"/>
        <w:rPr>
          <w:rFonts w:hint="eastAsia" w:ascii="仿宋" w:hAnsi="仿宋" w:eastAsia="仿宋" w:cs="仿宋"/>
        </w:rPr>
      </w:pPr>
      <w:r>
        <w:rPr>
          <w:rFonts w:hint="eastAsia" w:ascii="仿宋" w:hAnsi="仿宋" w:eastAsia="仿宋" w:cs="仿宋"/>
          <w:w w:val="95"/>
        </w:rPr>
        <w:t>三、支出决算表</w:t>
      </w:r>
    </w:p>
    <w:p>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四、财政拨款收入支出决算总表</w:t>
      </w:r>
    </w:p>
    <w:p>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五、财政拨款支出决算表（功能科目）</w:t>
      </w:r>
    </w:p>
    <w:p>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 xml:space="preserve">六、财政拨款基本支出决算表（经济科目） </w:t>
      </w:r>
    </w:p>
    <w:p>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七、一般公共预算支出决算表（功能科目）</w:t>
      </w:r>
    </w:p>
    <w:p>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八、一般公共预算基本支出决算表（经济科目）</w:t>
      </w:r>
    </w:p>
    <w:p>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九、</w:t>
      </w:r>
      <w:r>
        <w:rPr>
          <w:rFonts w:hint="eastAsia" w:ascii="仿宋" w:hAnsi="仿宋" w:eastAsia="仿宋" w:cs="仿宋"/>
          <w:lang w:val="en-US"/>
        </w:rPr>
        <w:t>财政拨款</w:t>
      </w:r>
      <w:r>
        <w:rPr>
          <w:rFonts w:hint="eastAsia" w:ascii="仿宋" w:hAnsi="仿宋" w:eastAsia="仿宋" w:cs="仿宋"/>
        </w:rPr>
        <w:t>“三公”经费、会议费、培训费支出决算表</w:t>
      </w:r>
    </w:p>
    <w:p>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十、政府性基金预算支出决算表</w:t>
      </w:r>
    </w:p>
    <w:p>
      <w:pPr>
        <w:pStyle w:val="8"/>
        <w:spacing w:line="360" w:lineRule="auto"/>
        <w:ind w:left="671" w:leftChars="300" w:right="2575" w:hanging="11"/>
        <w:jc w:val="both"/>
        <w:rPr>
          <w:rFonts w:hint="eastAsia" w:ascii="仿宋" w:hAnsi="仿宋" w:eastAsia="仿宋" w:cs="仿宋"/>
          <w:lang w:val="en-US"/>
        </w:rPr>
      </w:pPr>
      <w:r>
        <w:rPr>
          <w:rFonts w:hint="eastAsia" w:ascii="仿宋" w:hAnsi="仿宋" w:eastAsia="仿宋" w:cs="仿宋"/>
        </w:rPr>
        <w:t>十一、</w:t>
      </w:r>
      <w:r>
        <w:rPr>
          <w:rFonts w:hint="eastAsia" w:ascii="仿宋" w:hAnsi="仿宋" w:eastAsia="仿宋" w:cs="仿宋"/>
          <w:lang w:val="en-US"/>
        </w:rPr>
        <w:t>国有资本经营预算支出决算表</w:t>
      </w:r>
    </w:p>
    <w:p>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二</w:t>
      </w:r>
      <w:r>
        <w:rPr>
          <w:rFonts w:hint="eastAsia" w:ascii="仿宋" w:hAnsi="仿宋" w:eastAsia="仿宋" w:cs="仿宋"/>
        </w:rPr>
        <w:t>、</w:t>
      </w:r>
      <w:r>
        <w:rPr>
          <w:rFonts w:hint="eastAsia" w:ascii="仿宋" w:hAnsi="仿宋" w:eastAsia="仿宋" w:cs="仿宋"/>
          <w:lang w:val="en-US"/>
        </w:rPr>
        <w:t>财政拨款</w:t>
      </w:r>
      <w:r>
        <w:rPr>
          <w:rFonts w:hint="eastAsia" w:ascii="仿宋" w:hAnsi="仿宋" w:eastAsia="仿宋" w:cs="仿宋"/>
        </w:rPr>
        <w:t>机关运行经费支出决算表</w:t>
      </w:r>
    </w:p>
    <w:p>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三</w:t>
      </w:r>
      <w:r>
        <w:rPr>
          <w:rFonts w:hint="eastAsia" w:ascii="仿宋" w:hAnsi="仿宋" w:eastAsia="仿宋" w:cs="仿宋"/>
        </w:rPr>
        <w:t>、政府采购支出决算表</w:t>
      </w:r>
    </w:p>
    <w:p>
      <w:pPr>
        <w:pStyle w:val="8"/>
        <w:spacing w:line="360" w:lineRule="auto"/>
        <w:ind w:left="671" w:leftChars="300" w:hanging="11"/>
        <w:jc w:val="both"/>
        <w:rPr>
          <w:rFonts w:hint="eastAsia" w:ascii="黑体" w:hAnsi="黑体" w:eastAsia="黑体" w:cs="黑体"/>
          <w:lang w:val="en-US"/>
        </w:rPr>
      </w:pPr>
      <w:r>
        <w:rPr>
          <w:rFonts w:hint="eastAsia" w:ascii="黑体" w:hAnsi="黑体" w:eastAsia="黑体" w:cs="黑体"/>
          <w:lang w:val="en-US"/>
        </w:rPr>
        <w:t xml:space="preserve">第三部分 </w:t>
      </w:r>
      <w:r>
        <w:rPr>
          <w:rFonts w:hint="eastAsia" w:ascii="黑体" w:hAnsi="黑体" w:eastAsia="黑体" w:cs="黑体"/>
          <w:lang w:val="en-US" w:eastAsia="zh-CN"/>
        </w:rPr>
        <w:t>2024</w:t>
      </w:r>
      <w:r>
        <w:rPr>
          <w:rFonts w:hint="eastAsia" w:ascii="黑体" w:hAnsi="黑体" w:eastAsia="黑体" w:cs="黑体"/>
          <w:lang w:val="en-US"/>
        </w:rPr>
        <w:t>年度</w:t>
      </w:r>
      <w:r>
        <w:rPr>
          <w:rFonts w:ascii="黑体" w:hAnsi="黑体" w:eastAsia="黑体" w:cs="黑体"/>
          <w:u w:color="auto"/>
        </w:rPr>
        <w:t>单位决算情况说明</w:t>
      </w:r>
    </w:p>
    <w:p>
      <w:pPr>
        <w:pStyle w:val="8"/>
        <w:spacing w:line="360" w:lineRule="auto"/>
        <w:ind w:left="671" w:leftChars="300" w:hanging="11"/>
        <w:jc w:val="both"/>
        <w:rPr>
          <w:rFonts w:hint="eastAsia" w:ascii="仿宋" w:hAnsi="仿宋" w:eastAsia="仿宋" w:cs="仿宋"/>
          <w:b/>
          <w:bCs/>
          <w:color w:val="000000"/>
          <w:sz w:val="30"/>
          <w:szCs w:val="30"/>
          <w:lang w:val="en-US" w:bidi="ar"/>
        </w:rPr>
      </w:pPr>
      <w:r>
        <w:rPr>
          <w:rFonts w:hint="eastAsia" w:ascii="黑体" w:hAnsi="黑体" w:eastAsia="黑体" w:cs="黑体"/>
          <w:lang w:val="en-US"/>
        </w:rPr>
        <w:t>第四部分 名词解释</w:t>
      </w:r>
    </w:p>
    <w:p>
      <w:pPr>
        <w:pStyle w:val="8"/>
        <w:spacing w:line="235" w:lineRule="auto"/>
        <w:ind w:left="669" w:leftChars="300" w:right="2414" w:hanging="9"/>
        <w:jc w:val="both"/>
        <w:rPr>
          <w:rFonts w:hint="eastAsia" w:ascii="仿宋" w:hAnsi="仿宋" w:eastAsia="仿宋" w:cs="仿宋"/>
        </w:rPr>
        <w:sectPr>
          <w:footerReference r:id="rId5" w:type="default"/>
          <w:pgSz w:w="11906" w:h="16838"/>
          <w:pgMar w:top="1580" w:right="700" w:bottom="770" w:left="1020" w:header="283" w:footer="280" w:gutter="0"/>
          <w:pgNumType w:fmt="numberInDash" w:start="1"/>
          <w:cols w:space="720" w:num="1"/>
          <w:formProt w:val="0"/>
          <w:docGrid w:linePitch="100" w:charSpace="0"/>
        </w:sectPr>
      </w:pPr>
    </w:p>
    <w:p>
      <w:pPr>
        <w:pStyle w:val="8"/>
        <w:spacing w:before="1"/>
        <w:rPr>
          <w:rFonts w:hint="eastAsia" w:ascii="华文仿宋" w:hAnsi="华文仿宋" w:eastAsia="华文仿宋" w:cs="仿宋"/>
          <w:sz w:val="14"/>
        </w:rPr>
      </w:pPr>
    </w:p>
    <w:p>
      <w:pPr>
        <w:pStyle w:val="5"/>
        <w:tabs>
          <w:tab w:val="left" w:pos="4395"/>
        </w:tabs>
        <w:spacing w:line="606" w:lineRule="exact"/>
        <w:ind w:right="504" w:rightChars="229"/>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rPr>
        <w:t xml:space="preserve"> </w:t>
      </w:r>
      <w:r>
        <w:rPr>
          <w:rFonts w:hint="eastAsia" w:ascii="宋体" w:hAnsi="宋体" w:eastAsia="宋体" w:cs="宋体"/>
          <w:b/>
          <w:bCs/>
        </w:rPr>
        <w:t>单位概况</w:t>
      </w:r>
    </w:p>
    <w:p>
      <w:pPr>
        <w:ind w:right="504" w:rightChars="229"/>
        <w:jc w:val="both"/>
        <w:rPr>
          <w:rFonts w:hint="eastAsia"/>
        </w:rPr>
      </w:pPr>
    </w:p>
    <w:p>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一、主要职能</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(一)负责应急管理工作，指导全区各级各部门应对安全生产类、自然灾害类等突发事件和综合防灾减灾救灾工作。负责安全生产综合监督管理和工矿商贸行业安全生产监督管理工作。</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(二)拟订应急管理、安全生产等政策，组织编制区应急体系建设、安全生产和综合防灾减灾规划。</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三)指导应急预案体系建设，建立完善事故灾难和自然灾害分级应对制度。组织编制区总体应急预案和安全生产类、自然灾害类专项预案。综合协调应急预案衔接工作，组织开展预案演练，推动应急避难设施建设。</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(四)牵头建立统一的应急管理信息系统，负责信息传输渠道的规划和布局。建立监测预警和灾情报告制度，健全自然灾害信息资源获取和共享机制，依法统一发布灾情。</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五)组织指导协调安全生产类、自然灾害类等突发事件应急救援。承担区应对较大灾害指挥部工作。综合研判突发事件发展态势并提出应对建议。协助区党工委(区委)、区管委会(区政府)指定的负责同志组织较大灾害应急处置工作。</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(六)统一协调指挥各类应急专业队伍，建立应急协调联动机制，推进指挥平台对接。提请、衔接解放军和武警部队参与应急救援工作。</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(七)统筹应急救援力量建设，负责消防、森林火灾扑救、抗洪抢险、地震和地质灾害救援、生产安全事故救援等专业应急救援力量建设。指导综合性应急救援队伍、各级各部门及社会应急救援力量建设。</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(八)负责消防管理工作，指导全区各级消防监督、火灾预防、火灾扑救等工作。</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(九)指导协调森林火灾、水旱灾害、地震和地质灾害等防治工作。负责自然灾害综合监测预警工作，指导开展自然灾害综合风险评估工作。</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(十)组织协调灾害救助工作，组织指导灾情核查、损失评估、救灾捐赠工作。管理、分配上级下拨和区级救灾款物并监督使用。</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(十一)依法行使安全生产综合监督管理职权，指导协调、监督检查街道(功能园区)和区管委会(区政府)有关部门安全生产工作。组织开展安全生产巡查、考核工作。</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十二)按照分级、属地原则，依法监督检查工矿商贸生产经营单位贯彻执行安全生产法律法规情况及其安全生产条件和有关设备(特种设备除外)、材料、劳动防护用品的安全生产管理工作。依法组织并指导监督实施安全生产准入制度。负责危险化学品安全监督管理综合工作和烟花爆竹安全生产监督管理工作。</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(十三)依法组织指导生产安全事故调查处理，监督事故查处和责任追究落实情况。组织开展自然灾害类突发事件的调查评估工作。</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(十四)开展应急管理、安全生产等方面的对外交流与合作，组织参与安全生产类、自然灾害类等突发事件的跨区域救援工作。</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(十五)制定应急物资储备和应急救援装备规划并组织实施，会同区发改委(区粮食和物资储备局)等部门建立健全应急物资信息平台和调拨制度，在救灾时统一调度。</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(十六)负责应急管理、安全生产、防灾减灾宣传教育和培训工作。组织指导相关科学技术研究、推广应用和信息化建设工作。</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(十七)完成区党工委(区委)区管委会(区政府)交办的其他任务。</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十八)职能转变。加强、优化、统筹全区应急能力建设，构建统一领导、权责一致、权威高效的应急能力体系，推动形成统一指挥、专常兼备、反应灵敏、上下联动、平战结合的应急管理体制。一是坚持以防为主、防抗救结合，坚持常态减灾和非常态救灾相统一，努力实现从注重灾后救助向注重灾前预防转变，从应对单一灾种向综合减灾转变，从减少灾害损失向减轻灾害风险转变，提高全区应急管理水平和防灾减灾救灾能力，防范化解重特大安全风险。二是坚持以人为本，把确保人民群众生命安全放在首位，确保受灾群众基本生活，加强应急预案演练，增强全民防灾减灾意识，提升公众知识普及和自救互救技能，切实减少人员伤亡和财产损失。三是树立安全发展理念，坚持生命至上、安全第一，完善安全生产责任制，坚决遏制重特大安全事故。</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(十九)有关职责分工</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1.与自然资源和规划(林业)部门、区住建局(区水利局)等部门在自然灾害防救方面的职责分工。</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(1)区应急管理局负责组织编制区总体应急预案和安全生产类、自然灾害类专项预案，综合协调应急预案衔接工作，组织开展预案演练。按照分级负责的原则，指导自然灾害类应急救援;组织协调重大灾害应急救援工作，并按权限作出决定;承担区应对较大灾害指挥部工作，协助区党工委(区委)、区管委会(区政府)指定的负责同志组织较大灾害应急处置工作。组织编制综合防灾减灾规划，指导协调相关部门森林火灾、水旱灾害、地震和地质灾害等防治工作;会同区发改委、住建局、工信局、自然资源和规划(林业)部门等有关部门建立统一的应急管理信息平台，建立监测预警和灾情报告制度，健全自然灾害信息资源获取和共享机制，依法统一发布灾情。开展多灾种和灾害链综合监测预警，指导开展自然灾害综合风险评估。协调开展森林火情监测预警工作。</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(2)自然资源和规划(林业)部门负责落实综合防灾减灾规划相关要求，组织编制地质灾害防治规划和防护标准并指导实施。组织指导协调和监督地质灾害调查评价及隐患的普查、详查、排查。指导开展群测群防、专业监测和预报预警等工作,指导开展地质灾害工程治理工作。承担地质灾害应急救援的技术支撑工作。组织编制森林火灾防治规划和防护标准并指导实施。组织开展森林防火巡护、火源管理、火情报告、防火设施建设等工作。组织指导开展森林防火宣传教育、火情监测预警、督促检查等工作。</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(3)区住建局(区水利局)负责落实综合防灾减灾规划相关要求，组织编制洪水干旱灾害防治规划和防护标准并指导实施。承担水情旱情监测预警工作。组织编制重要江河湖泊和重要水工程的防御洪水抗御旱灾调度和应急水量调度方案，按程序报批并组织实施。承担防御洪水应急抢险的技术支撑工作。承担台风防御期间重要水工程调度工作。</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(4)必要时，自然资源和规划(林业)部门、区住建局(区水利局)等部门可以提请区应急管理局，以区应急指挥机构名义部署相关防治工作。</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2.与区发改委(区粮食和物资储备局)在区级救灾物资储备方面的职责分工。</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(1)区应急管理局负责提出区级救灾物资的储备需求和动用决策，组织编制区级救灾物资储备规划、品种目录和标准,会同区发改委(区粮食和物资储备局)等部门确定年度购置计划，根据需要下达动用指令。</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(2)区发改委(区粮食和物资储备局)根据区级救灾物资储备规划、品种目录和标准、年度购置计划，负责区级救灾物资的收储、轮换和日常管理，根据区应急管理局的动用指令按程序组织调出。</w:t>
      </w:r>
    </w:p>
    <w:p>
      <w:pPr>
        <w:pStyle w:val="8"/>
        <w:spacing w:line="360" w:lineRule="auto"/>
        <w:ind w:left="440" w:leftChars="200" w:right="504" w:rightChars="229" w:firstLine="658"/>
        <w:jc w:val="both"/>
        <w:outlineLvl w:val="1"/>
        <w:rPr>
          <w:rFonts w:hint="eastAsia" w:ascii="黑体" w:hAnsi="黑体" w:eastAsia="黑体" w:cs="黑体"/>
          <w:lang w:val="en-US"/>
        </w:rPr>
      </w:pPr>
      <w:r>
        <w:rPr>
          <w:rFonts w:hint="eastAsia" w:ascii="黑体" w:hAnsi="黑体" w:eastAsia="黑体" w:cs="黑体"/>
        </w:rPr>
        <w:t>二、</w:t>
      </w:r>
      <w:r>
        <w:rPr>
          <w:rFonts w:hint="eastAsia" w:ascii="黑体" w:hAnsi="黑体" w:eastAsia="黑体" w:cs="黑体"/>
          <w:lang w:val="en-US"/>
        </w:rPr>
        <w:t>单位</w:t>
      </w:r>
      <w:r>
        <w:rPr>
          <w:rFonts w:hint="eastAsia" w:ascii="黑体" w:hAnsi="黑体" w:eastAsia="黑体" w:cs="黑体"/>
        </w:rPr>
        <w:t>机构设置及决算单位构成情况</w:t>
      </w:r>
    </w:p>
    <w:p>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rPr>
        <w:t>根据</w:t>
      </w:r>
      <w:r>
        <w:rPr>
          <w:rFonts w:hint="eastAsia" w:ascii="仿宋" w:hAnsi="仿宋" w:eastAsia="仿宋" w:cs="仿宋"/>
          <w:lang w:val="en-US"/>
        </w:rPr>
        <w:t>单位</w:t>
      </w:r>
      <w:r>
        <w:rPr>
          <w:rFonts w:hint="eastAsia" w:ascii="仿宋" w:hAnsi="仿宋" w:eastAsia="仿宋" w:cs="仿宋"/>
        </w:rPr>
        <w:t>职责分工</w:t>
      </w:r>
      <w:r>
        <w:rPr>
          <w:rFonts w:hint="eastAsia" w:ascii="仿宋" w:hAnsi="仿宋" w:eastAsia="仿宋" w:cs="仿宋"/>
          <w:lang w:val="en-US"/>
        </w:rPr>
        <w:t>，</w:t>
      </w:r>
      <w:r>
        <w:rPr>
          <w:rFonts w:ascii="仿宋" w:hAnsi="仿宋" w:eastAsia="仿宋" w:cs="仿宋"/>
          <w:u w:color="auto"/>
        </w:rPr>
        <w:t>本单位内设机构包括办公室、法规宣传处、应急减灾救援处、火灾防治管理处、安全生产基础管理处、区安委办综合协调督查处。本单位无下属单位。</w:t>
      </w:r>
    </w:p>
    <w:p>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三、</w:t>
      </w:r>
      <w:r>
        <w:rPr>
          <w:rFonts w:hint="eastAsia" w:ascii="黑体" w:hAnsi="黑体" w:eastAsia="黑体" w:cs="黑体"/>
          <w:lang w:eastAsia="zh-CN"/>
        </w:rPr>
        <w:t>2024</w:t>
      </w:r>
      <w:r>
        <w:rPr>
          <w:rFonts w:hint="eastAsia" w:ascii="黑体" w:hAnsi="黑体" w:eastAsia="黑体" w:cs="黑体"/>
        </w:rPr>
        <w:t>年度主要工作完成情况</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一是深化体系建设，提升整体高效协同水平。“谋”上深耕细作。明确全区物流园区安全管理职责及汽车起重机安全监管部门的责任归属，推动非生产型研发单位专委会实现实体化运作。原16个专委会通过动态调整、行业覆盖、工作交办、统筹协调等机制的迭代升级，确保各行业领域安全监管职责落地、专业支撑到位、主体责任落实。紧盯问题，深入调研，探索出33个科技园区的安全监管治理模式，并针对牵头部门和责任划分提出了切实可行的意见和建议。“统”上全力以赴。部署开展全区治本攻坚三年行动，建立“1+27”方案体系，通过“动态调度+条块督导”推动各项工作落实落细。圆满收官百日冬季风险排查整治行动，上下联动、全市率先开展社会面小场所安全治理，实现了小场所的100%“精准画像”和靶向施策。巩固近年来治理成果，梳理形成全区安全生产“土办法、笨办法、洋办法”共计106个。稳步推进“老大难”问题攻坚和“两张清单”工作，确保信息“全覆盖”采集、责任“全细化”厘清。“督”上动真碰硬。统筹推进交叉检查、第三方专项检查、“回头看”检查，构建督导跟踪-问效考评-定责通报的闭环管理机制，今年以来，共下发交办单19单，涉及332家企业（场所）的1270项问题隐患，整改完成1119项，整改率88.1%。</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二是加强行动推进，坚决守牢安全生产红线。扎实推进“厂中厂”专项整治。按照“聚焦突出问题、聚焦现场监管、聚焦责任落实”的整治思路，对204家重点“厂中厂”开展诊断评估验收专项检查，编印《区深化提升“厂中厂”安全生产整治指导手册》、宣传海报4000余份，广泛传播。树立27处典型示范点位，全面实施4支执法中队挂钩示范提升行动，深入剖析整治难点、寻求解决路径，为整体推进提供示范和借鉴。全年开展“厂中厂”出租方业务培训28场涉及3980家企业12390人次，完成整治出租方624家，承租方3677家。稳步推进化工、危化品“一件事”整治。采取“一企一策”推进15家园区外化工和危化品生产企业安全专项整治，滚动排查并淘汰更新了4套老旧装置，推进2家重大危险源企业审计前期准备工作。全面摸排涉危化品使用单位，逐一落实问题、责任清单化管理，督促跟进无锡三洲危化品仓储有限公司危化品仓储经营项目，12月底完成项目安全条件审查。持续强化重点领域监管。抓转型整改，开展铝镁金属粉尘拉网式核查评估，完成1家除尘工艺“应湿尽湿”、11家互联互通管道“应拆尽拆”；重点有限空间企业100%“上锁”和“设柜”管理措施；推动5家铝加工（深井铸造）企业采用轻质屋顶和防爆隔墙3919家工贸企业电气线路、管路敷设按标准要求完成整改。促优化提升，开展重点企业安全审计服务工作，对80家重点企业进行深度检查，发现问题隐患1296条（含重大隐患1条），有效防范遏制重点领域事故发生。建立重点企业电气火灾超前预警筛查机制，已安装企事业单位879家，重点企业535家，两易一密一新场所295家。</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三是推进依法行政，着力提升监督检查质效。加大执法监督震慑。采取专项执法、联合执法、交叉执法、突击夜查等全方位“执法+”模式，聚焦现场事故隐患和违规违章行为，从严查处、依法行政，全区应急管理系统共执法检查企业1461家，排查隐患13230条，其中重大隐患92条，年度涉台账类违法案件占比降至11.03%。注重“领域内、外问题”联动闭环，对领域外问题向消防、住建、城管等部门移送207起。靠前服务护航发展。聚焦服务先行，对区内纳税百强、省级以上专精特新等800余家企业开展“执法先送法，执法先服务”，运用合规提醒及行政处罚风险警示等，引导企业正确把握和处理好发展与安全的关系。聚焦包容审慎，研究出台“包容审慎监管优化营商环境若干措施”，明确轻微违法行为不予行政处罚事项。合理利用省自由裁量因子，严格按照程序对176家符合条件的企业和个人减轻或免予处罚，将优化营商环境融入执法办案中。</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四是聚焦宣教培训，提升全民安全防范意识。多维度开展大众宣传。高规格举办“5.12”防灾减灾周、“安全生产月”活动，常态化开展“五进”宣传，营造全民参与良好氛围。强化警示教育，每半月“点名道姓”曝光非法储存危险物品、违规电焊等违法行为，累计曝光典型案例47期。结合我区企业生产工艺、实际情况，精心组织制作《工业企业常见安全生产风险和事故隐患警示》系列警示教育片，目前已拍摄4集。多领域深化教育培训。圆满完成全区企业安全生产管理人员素质能力提升工程，4343家企业参测率、通过率均达100%。注重“用户思维”创新举办4期日韩英外企主要负责人安全生产培训班，140余名外企主要负责人参加培训，共享安全知识盛宴。督促企业安全生产“三项岗位”人员应培尽培，已有4145名企业主要负责人，7563名安全管理人员参加安全生产知识培训。多渠道强化信息推送。深入挖掘、及时总结推广危化品企业管理、“厂中厂”管理、党建工作、体制机制创新、举报奖励等方面的工作成果，成功吸引中国应急管理报、中国安全生产杂志、江南晚报等媒体150余次的关注宣传，创历年来外宣报道新高，显著提升了工作影响力。</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五是巩固基础建设，全面提升应急管理能力。突出制度机制抓长效。完善《区防灾减灾会商工作机制》《区级应急物资储备调拨使用管理工作制度》，定期更新《防灾减灾救灾工作手册》，摸清底数确保全区应急资源“一张图”。指导梅村街道开展应急物资储备标准化试点，建立“建管用”并重长效管理机制。汇总制定《区应急管理局值班资料汇编》并动态更新，实行每天抽查、每周调度、每季通报、半年考核。完善并落实《新吴区生产安全事故应急处置暂行规定》，理顺救援指挥和响应体系。补短强基加强灾害防范。编发《新吴区减灾工作提示单》24个，组织全区230余名灾害信息员参加业务培训班，在重要节点、节假日和极端天气组织15支签约的社会救援队伍前置备勤。引入全市首台排水机器人；新增了10个带有探头的宣传防护桩，通过“技防”增强森林防火监控能力；协调新吴蓝天救援队入驻新吴区物资仓库；在无锡科技职业学院建设基层应急救援驿站试点，并逐步向基层社区推广，为基层工作提供有力保障。创新思路提升应急处突能力。按照应急预案和演练“查、督、改”三年行动计划，对全区500家应急预案和演练重点企业开展专项检查并形成调研报告，针对问题即查即改；制定区级应急预案修订工作计划，牵头对雨雪冰冻灾害应急预案等6个专项预案进行修编；组织开展多场景多科目应急演练，提高应急协同能力和实战水平；有序开展汛前安全检查，有效防范了台风“贝碧嘉”“普拉桑”。</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六是锻造应急铁军，激发队伍潜能与活力。推动执法队伍发展专业化。深入开展行政执法突出问题专项整治，广泛收集企业反馈评价，寄送200余份回访单。坚持政治理论与业务学习并重，组织执法人员参与各类政治教育22次、签订党风廉政责任状29份、开展“周例会、月内训”38次。加快专业队伍培养步伐，1名同志通过注册安全工程师考试，1名同志入选省级应急管理专家库名单，1名同志获公务员二等功，市执法技能竞赛荣获“团体一等奖”。促进专职安全员队伍管理规范化。制定专职安全员管理细则，明确配备要求、专业资格、管理规范及考核标准，对履职不力情况从重处理，鼓励街道实施AB岗互补机制，结合“表彰先进+反面警示”，激励安全员提升。今年共开展11次业务知识培训，并巧借风险报告核查、涉爆粉尘专项、安全审计服务等专项，常态化“以查带教”，要求被查企业对应的专职安全员全程陪同，以沉浸式现场教学增强履职能力。引领“外脑”队伍服务优质化。修订完善专家使用管理办法，细化了选聘、使用、解聘、考评以及奖惩机制，明确了专家在安全生产检查、事故调查、应急抢险等关键领域的具体作用，以确保专家资源的合理配置与高效利用。强化对安全生产技术服务机构的管理，通过上级交办、信访举报、检查抽查和案件移送等多种途径，对15家机构进行了全面检查，约谈3家，通报3家，以提升整体服务质量。</w:t>
      </w:r>
    </w:p>
    <w:p>
      <w:pPr>
        <w:pStyle w:val="8"/>
        <w:spacing w:line="235" w:lineRule="auto"/>
        <w:ind w:left="669" w:leftChars="300" w:right="2414" w:hanging="9"/>
        <w:jc w:val="both"/>
        <w:rPr>
          <w:rFonts w:hint="eastAsia" w:ascii="仿宋" w:hAnsi="仿宋" w:eastAsia="仿宋" w:cs="仿宋"/>
          <w:lang w:val="en-US"/>
        </w:rPr>
        <w:sectPr>
          <w:footerReference r:id="rId6" w:type="default"/>
          <w:pgSz w:w="11906" w:h="16838"/>
          <w:pgMar w:top="1580" w:right="700" w:bottom="770" w:left="1020" w:header="283" w:footer="280" w:gutter="0"/>
          <w:pgNumType w:fmt="numberInDash"/>
          <w:cols w:space="720" w:num="1"/>
          <w:formProt w:val="0"/>
          <w:docGrid w:linePitch="100" w:charSpace="0"/>
        </w:sectPr>
      </w:pPr>
    </w:p>
    <w:p>
      <w:pPr>
        <w:pStyle w:val="8"/>
        <w:spacing w:line="360" w:lineRule="auto"/>
        <w:ind w:left="440" w:leftChars="200" w:right="504" w:rightChars="229" w:firstLine="658"/>
        <w:jc w:val="both"/>
        <w:rPr>
          <w:rFonts w:hint="eastAsia" w:ascii="仿宋" w:hAnsi="仿宋" w:eastAsia="仿宋" w:cs="仿宋"/>
          <w:lang w:val="en-US"/>
        </w:rPr>
      </w:pPr>
    </w:p>
    <w:p>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pPr>
        <w:pStyle w:val="21"/>
        <w:tabs>
          <w:tab w:val="left" w:pos="1609"/>
        </w:tabs>
        <w:spacing w:before="12" w:line="300" w:lineRule="auto"/>
        <w:ind w:left="340" w:right="567" w:firstLine="0"/>
        <w:jc w:val="center"/>
        <w:outlineLvl w:val="0"/>
        <w:rPr>
          <w:rFonts w:hint="eastAsia" w:ascii="宋体" w:hAnsi="宋体" w:eastAsia="宋体" w:cs="宋体"/>
          <w:b/>
          <w:bCs/>
          <w:sz w:val="36"/>
          <w:szCs w:val="36"/>
          <w:lang w:val="en-US"/>
        </w:rPr>
      </w:pPr>
      <w:r>
        <w:rPr>
          <w:rFonts w:hint="eastAsia" w:ascii="宋体" w:hAnsi="宋体" w:eastAsia="宋体" w:cs="宋体"/>
          <w:b/>
          <w:bCs/>
          <w:sz w:val="36"/>
          <w:szCs w:val="36"/>
        </w:rPr>
        <w:t>第二部分</w:t>
      </w:r>
    </w:p>
    <w:p>
      <w:pPr>
        <w:pStyle w:val="21"/>
        <w:tabs>
          <w:tab w:val="left" w:pos="1609"/>
        </w:tabs>
        <w:spacing w:before="12"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rPr>
        <w:t>高新区（新吴区）应急管理局（本级）</w:t>
      </w:r>
    </w:p>
    <w:p>
      <w:pPr>
        <w:pStyle w:val="21"/>
        <w:tabs>
          <w:tab w:val="left" w:pos="1609"/>
        </w:tabs>
        <w:spacing w:before="12"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2024</w:t>
      </w:r>
      <w:r>
        <w:rPr>
          <w:rFonts w:hint="eastAsia" w:ascii="宋体" w:hAnsi="宋体" w:eastAsia="宋体" w:cs="宋体"/>
          <w:b/>
          <w:bCs/>
          <w:sz w:val="36"/>
          <w:szCs w:val="36"/>
        </w:rPr>
        <w:t>年度</w:t>
      </w:r>
      <w:r>
        <w:rPr>
          <w:rFonts w:hint="eastAsia" w:ascii="宋体" w:hAnsi="宋体" w:eastAsia="宋体" w:cs="宋体"/>
          <w:b/>
          <w:bCs/>
          <w:sz w:val="36"/>
          <w:szCs w:val="36"/>
          <w:lang w:val="en-US"/>
        </w:rPr>
        <w:t>单位</w:t>
      </w:r>
      <w:r>
        <w:rPr>
          <w:rFonts w:ascii="宋体" w:hAnsi="宋体" w:eastAsia="宋体" w:cs="宋体"/>
          <w:b/>
          <w:sz w:val="36"/>
          <w:u w:color="auto"/>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tblPrEx>
          <w:tblCellMar>
            <w:top w:w="0" w:type="dxa"/>
            <w:left w:w="108" w:type="dxa"/>
            <w:bottom w:w="0" w:type="dxa"/>
            <w:right w:w="108" w:type="dxa"/>
          </w:tblCellMar>
        </w:tblPrEx>
        <w:trPr>
          <w:trHeight w:val="544" w:hRule="atLeast"/>
          <w:jc w:val="center"/>
        </w:trPr>
        <w:tc>
          <w:tcPr>
            <w:tcW w:w="10447" w:type="dxa"/>
            <w:gridSpan w:val="5"/>
          </w:tcPr>
          <w:p>
            <w:pPr>
              <w:pageBreakBefore/>
              <w:jc w:val="center"/>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tblPrEx>
          <w:tblCellMar>
            <w:top w:w="0" w:type="dxa"/>
            <w:left w:w="108" w:type="dxa"/>
            <w:bottom w:w="0" w:type="dxa"/>
            <w:right w:w="108" w:type="dxa"/>
          </w:tblCellMar>
        </w:tblPrEx>
        <w:trPr>
          <w:trHeight w:val="348" w:hRule="atLeast"/>
          <w:jc w:val="center"/>
        </w:trPr>
        <w:tc>
          <w:tcPr>
            <w:tcW w:w="3468" w:type="dxa"/>
          </w:tcPr>
          <w:p>
            <w:pPr>
              <w:rPr>
                <w:rFonts w:hint="eastAsia" w:ascii="仿宋" w:hAnsi="仿宋" w:eastAsia="仿宋" w:cs="仿宋"/>
                <w:color w:val="000000"/>
                <w:sz w:val="20"/>
              </w:rPr>
            </w:pPr>
          </w:p>
        </w:tc>
        <w:tc>
          <w:tcPr>
            <w:tcW w:w="1777" w:type="dxa"/>
          </w:tcPr>
          <w:p>
            <w:pPr>
              <w:rPr>
                <w:rFonts w:hint="eastAsia" w:ascii="仿宋" w:hAnsi="仿宋" w:eastAsia="仿宋" w:cs="仿宋"/>
                <w:color w:val="000000"/>
                <w:sz w:val="20"/>
              </w:rPr>
            </w:pPr>
          </w:p>
        </w:tc>
        <w:tc>
          <w:tcPr>
            <w:tcW w:w="5202" w:type="dxa"/>
            <w:gridSpan w:val="3"/>
          </w:tcPr>
          <w:p>
            <w:pPr>
              <w:jc w:val="right"/>
              <w:rPr>
                <w:rFonts w:hint="eastAsia" w:ascii="仿宋" w:hAnsi="仿宋" w:eastAsia="仿宋" w:cs="仿宋"/>
                <w:color w:val="000000"/>
              </w:rPr>
            </w:pPr>
            <w:r>
              <w:rPr>
                <w:rFonts w:hint="eastAsia" w:ascii="仿宋" w:hAnsi="仿宋" w:eastAsia="仿宋" w:cs="仿宋"/>
                <w:color w:val="000000"/>
                <w:lang w:eastAsia="ar-SA"/>
              </w:rPr>
              <w:t>公开01表</w:t>
            </w:r>
          </w:p>
        </w:tc>
      </w:tr>
      <w:tr>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pPr>
              <w:rPr>
                <w:rFonts w:hint="eastAsia" w:ascii="仿宋" w:hAnsi="仿宋" w:eastAsia="仿宋" w:cs="仿宋"/>
                <w:color w:val="00000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color w:val="000000"/>
                <w:lang w:eastAsia="ar-SA"/>
              </w:rPr>
              <w:t>高新区（新吴区）应急管理局（本级）</w:t>
            </w:r>
          </w:p>
        </w:tc>
        <w:tc>
          <w:tcPr>
            <w:tcW w:w="3167" w:type="dxa"/>
            <w:gridSpan w:val="2"/>
            <w:tcBorders>
              <w:bottom w:val="single" w:color="000000" w:sz="4" w:space="0"/>
            </w:tcBorders>
            <w:vAlign w:val="center"/>
          </w:tcPr>
          <w:p>
            <w:pPr>
              <w:jc w:val="right"/>
              <w:rPr>
                <w:rFonts w:hint="eastAsia" w:ascii="仿宋" w:hAnsi="仿宋" w:eastAsia="仿宋" w:cs="仿宋"/>
                <w:color w:val="000000"/>
              </w:rPr>
            </w:pPr>
            <w:r>
              <w:rPr>
                <w:rFonts w:hint="eastAsia" w:ascii="仿宋" w:hAnsi="仿宋" w:eastAsia="仿宋" w:cs="仿宋"/>
                <w:color w:val="000000"/>
              </w:rPr>
              <w:t>金额单位：万元</w:t>
            </w:r>
          </w:p>
        </w:tc>
      </w:tr>
      <w:tr>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rPr>
            </w:pPr>
            <w:r>
              <w:rPr>
                <w:rFonts w:hint="eastAsia" w:ascii="仿宋" w:hAnsi="仿宋" w:eastAsia="仿宋" w:cs="仿宋"/>
                <w:color w:val="000000"/>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rPr>
            </w:pPr>
            <w:r>
              <w:rPr>
                <w:rFonts w:hint="eastAsia" w:ascii="仿宋" w:hAnsi="仿宋" w:eastAsia="仿宋" w:cs="仿宋"/>
                <w:color w:val="000000"/>
                <w:lang w:eastAsia="ar-SA"/>
              </w:rPr>
              <w:t>支出</w:t>
            </w:r>
          </w:p>
        </w:tc>
      </w:tr>
      <w:tr>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rPr>
            </w:pPr>
            <w:r>
              <w:rPr>
                <w:rFonts w:ascii="仿宋" w:hAnsi="仿宋" w:eastAsia="仿宋" w:cs="仿宋"/>
                <w:color w:val="000000"/>
                <w:u w:color="auto"/>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rPr>
            </w:pPr>
            <w:r>
              <w:rPr>
                <w:rFonts w:hint="eastAsia" w:ascii="仿宋" w:hAnsi="仿宋" w:eastAsia="仿宋" w:cs="仿宋"/>
                <w:color w:val="000000"/>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rPr>
            </w:pPr>
            <w:r>
              <w:rPr>
                <w:rFonts w:hint="eastAsia" w:ascii="仿宋" w:hAnsi="仿宋" w:eastAsia="仿宋" w:cs="仿宋"/>
                <w:color w:val="000000"/>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rPr>
            </w:pPr>
            <w:r>
              <w:rPr>
                <w:rFonts w:hint="eastAsia" w:ascii="仿宋" w:hAnsi="仿宋" w:eastAsia="仿宋" w:cs="仿宋"/>
                <w:color w:val="000000"/>
                <w:lang w:eastAsia="ar-SA"/>
              </w:rPr>
              <w:t>决算数</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1,507.11</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83.95</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23.09</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196.59</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1,203.48</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rPr>
            </w:pPr>
            <w:r>
              <w:rPr>
                <w:rFonts w:hint="eastAsia" w:ascii="仿宋" w:hAnsi="仿宋" w:eastAsia="仿宋" w:cs="仿宋"/>
                <w:b/>
                <w:bCs/>
                <w:color w:val="000000"/>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color w:val="000000"/>
              </w:rPr>
            </w:pPr>
            <w:r>
              <w:rPr>
                <w:rFonts w:hint="eastAsia" w:ascii="仿宋" w:hAnsi="仿宋" w:eastAsia="仿宋" w:cs="仿宋"/>
                <w:color w:val="000000"/>
                <w:lang w:eastAsia="ar-SA"/>
              </w:rPr>
              <w:t>1,507.11</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bCs/>
                <w:color w:val="000000"/>
              </w:rPr>
            </w:pPr>
            <w:r>
              <w:rPr>
                <w:rFonts w:hint="eastAsia" w:ascii="仿宋" w:hAnsi="仿宋" w:eastAsia="仿宋" w:cs="仿宋"/>
                <w:b/>
                <w:bCs/>
                <w:color w:val="000000"/>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color w:val="000000"/>
              </w:rPr>
            </w:pPr>
            <w:r>
              <w:rPr>
                <w:rFonts w:hint="eastAsia" w:ascii="仿宋" w:hAnsi="仿宋" w:eastAsia="仿宋" w:cs="仿宋"/>
                <w:color w:val="000000"/>
                <w:lang w:eastAsia="ar-SA"/>
              </w:rPr>
              <w:t>1,507.11</w:t>
            </w:r>
          </w:p>
        </w:tc>
      </w:tr>
      <w:tr>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ind w:firstLine="220" w:firstLineChars="100"/>
              <w:rPr>
                <w:rFonts w:hint="eastAsia" w:ascii="仿宋" w:hAnsi="仿宋" w:eastAsia="仿宋" w:cs="仿宋"/>
                <w:color w:val="000000"/>
              </w:rPr>
            </w:pPr>
            <w:r>
              <w:rPr>
                <w:rFonts w:hint="eastAsia" w:ascii="仿宋" w:hAnsi="仿宋" w:eastAsia="仿宋" w:cs="仿宋"/>
                <w:color w:val="000000"/>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ind w:firstLine="220" w:firstLineChars="100"/>
              <w:rPr>
                <w:rFonts w:hint="eastAsia" w:ascii="仿宋" w:hAnsi="仿宋" w:eastAsia="仿宋" w:cs="仿宋"/>
                <w:color w:val="000000"/>
              </w:rPr>
            </w:pPr>
            <w:r>
              <w:rPr>
                <w:rFonts w:hint="eastAsia" w:ascii="仿宋" w:hAnsi="仿宋" w:eastAsia="仿宋" w:cs="仿宋"/>
                <w:color w:val="000000"/>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color w:val="000000"/>
              </w:rPr>
            </w:pPr>
          </w:p>
        </w:tc>
      </w:tr>
      <w:tr>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color w:val="000000"/>
              </w:rPr>
            </w:pPr>
          </w:p>
        </w:tc>
      </w:tr>
      <w:tr>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pPr>
              <w:rPr>
                <w:rFonts w:hint="eastAsia" w:ascii="仿宋" w:hAnsi="仿宋" w:eastAsia="仿宋" w:cs="仿宋"/>
                <w:color w:val="000000"/>
              </w:rPr>
            </w:pPr>
          </w:p>
        </w:tc>
        <w:tc>
          <w:tcPr>
            <w:tcW w:w="1777" w:type="dxa"/>
            <w:tcBorders>
              <w:top w:val="single" w:color="000000" w:sz="4" w:space="0"/>
              <w:left w:val="single" w:color="000000" w:sz="4" w:space="0"/>
              <w:bottom w:val="single" w:color="000000" w:sz="4" w:space="0"/>
              <w:right w:val="single" w:color="000000" w:sz="4" w:space="0"/>
            </w:tcBorders>
          </w:tcPr>
          <w:p>
            <w:pPr>
              <w:rPr>
                <w:rFonts w:hint="eastAsia" w:ascii="仿宋" w:hAnsi="仿宋" w:eastAsia="仿宋" w:cs="仿宋"/>
                <w:color w:val="000000"/>
              </w:rPr>
            </w:pPr>
          </w:p>
        </w:tc>
        <w:tc>
          <w:tcPr>
            <w:tcW w:w="3376" w:type="dxa"/>
            <w:gridSpan w:val="2"/>
            <w:tcBorders>
              <w:top w:val="single" w:color="000000" w:sz="4" w:space="0"/>
              <w:left w:val="single" w:color="000000" w:sz="4" w:space="0"/>
              <w:bottom w:val="single" w:color="000000" w:sz="4" w:space="0"/>
              <w:right w:val="single" w:color="000000" w:sz="4" w:space="0"/>
            </w:tcBorders>
          </w:tcPr>
          <w:p>
            <w:pPr>
              <w:rPr>
                <w:rFonts w:hint="eastAsia" w:ascii="仿宋" w:hAnsi="仿宋" w:eastAsia="仿宋" w:cs="仿宋"/>
                <w:color w:val="000000"/>
              </w:rPr>
            </w:pPr>
          </w:p>
        </w:tc>
        <w:tc>
          <w:tcPr>
            <w:tcW w:w="1826" w:type="dxa"/>
            <w:tcBorders>
              <w:top w:val="single" w:color="000000" w:sz="4" w:space="0"/>
              <w:left w:val="single" w:color="000000" w:sz="4" w:space="0"/>
              <w:bottom w:val="single" w:color="000000" w:sz="4" w:space="0"/>
              <w:right w:val="single" w:color="000000" w:sz="4" w:space="0"/>
            </w:tcBorders>
          </w:tcPr>
          <w:p>
            <w:pPr>
              <w:rPr>
                <w:rFonts w:hint="eastAsia" w:ascii="仿宋" w:hAnsi="仿宋" w:eastAsia="仿宋" w:cs="仿宋"/>
                <w:color w:val="000000"/>
              </w:rPr>
            </w:pPr>
          </w:p>
        </w:tc>
      </w:tr>
      <w:tr>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color w:val="000000"/>
              </w:rPr>
            </w:pPr>
            <w:r>
              <w:rPr>
                <w:rFonts w:hint="eastAsia" w:ascii="仿宋" w:hAnsi="仿宋" w:eastAsia="仿宋" w:cs="仿宋"/>
                <w:color w:val="000000"/>
                <w:lang w:eastAsia="ar-SA"/>
              </w:rPr>
              <w:t>1,507.11</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color w:val="000000"/>
              </w:rPr>
            </w:pPr>
            <w:r>
              <w:rPr>
                <w:rFonts w:hint="eastAsia" w:ascii="仿宋" w:hAnsi="仿宋" w:eastAsia="仿宋" w:cs="仿宋"/>
                <w:color w:val="000000"/>
                <w:lang w:eastAsia="ar-SA"/>
              </w:rPr>
              <w:t>1,507.11</w:t>
            </w:r>
          </w:p>
        </w:tc>
      </w:tr>
    </w:tbl>
    <w:p>
      <w:pPr>
        <w:spacing w:before="66"/>
        <w:jc w:val="both"/>
        <w:rPr>
          <w:rFonts w:hint="eastAsia" w:ascii="仿宋" w:hAnsi="仿宋" w:eastAsia="仿宋" w:cs="仿宋"/>
          <w:color w:val="000000"/>
          <w:lang w:val="en-US"/>
        </w:rPr>
      </w:pPr>
      <w:r>
        <w:rPr>
          <w:rFonts w:hint="eastAsia" w:ascii="仿宋" w:hAnsi="仿宋" w:eastAsia="仿宋" w:cs="仿宋"/>
          <w:color w:val="000000"/>
          <w:lang w:val="en-US"/>
        </w:rPr>
        <w:t>注：本表反映本年度的总收支和年末结转结余情况。本表金额单位转换时可能存在尾数误差。</w:t>
      </w:r>
    </w:p>
    <w:p>
      <w:pPr>
        <w:spacing w:before="66"/>
        <w:jc w:val="both"/>
        <w:rPr>
          <w:rFonts w:hint="eastAsia" w:ascii="仿宋" w:hAnsi="仿宋" w:eastAsia="仿宋" w:cs="仿宋"/>
          <w:color w:val="000000"/>
          <w:lang w:val="en-US"/>
        </w:rPr>
        <w:sectPr>
          <w:footerReference r:id="rId7" w:type="default"/>
          <w:pgSz w:w="11906" w:h="16838"/>
          <w:pgMar w:top="720" w:right="720" w:bottom="720" w:left="720" w:header="170" w:footer="280" w:gutter="0"/>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tblPrEx>
          <w:tblCellMar>
            <w:top w:w="0" w:type="dxa"/>
            <w:left w:w="108" w:type="dxa"/>
            <w:bottom w:w="0" w:type="dxa"/>
            <w:right w:w="108" w:type="dxa"/>
          </w:tblCellMar>
        </w:tblPrEx>
        <w:trPr>
          <w:trHeight w:val="403" w:hRule="atLeast"/>
          <w:jc w:val="center"/>
        </w:trPr>
        <w:tc>
          <w:tcPr>
            <w:tcW w:w="16660" w:type="dxa"/>
            <w:gridSpan w:val="10"/>
            <w:vAlign w:val="center"/>
          </w:tcPr>
          <w:p>
            <w:pPr>
              <w:pStyle w:val="5"/>
              <w:rPr>
                <w:rFonts w:hint="eastAsia" w:ascii="仿宋" w:hAnsi="仿宋" w:eastAsia="仿宋" w:cs="仿宋"/>
                <w:b/>
                <w:bCs/>
                <w:sz w:val="44"/>
                <w:szCs w:val="44"/>
                <w:lang w:val="en-US"/>
              </w:rPr>
            </w:pPr>
            <w:r>
              <w:rPr>
                <w:rFonts w:hint="eastAsia" w:ascii="宋体" w:hAnsi="宋体" w:eastAsia="宋体" w:cs="宋体"/>
                <w:b/>
                <w:bCs/>
                <w:color w:val="000000"/>
                <w:lang w:eastAsia="ar-SA"/>
              </w:rPr>
              <w:t>收入决算表</w:t>
            </w:r>
          </w:p>
        </w:tc>
      </w:tr>
      <w:tr>
        <w:tblPrEx>
          <w:tblCellMar>
            <w:top w:w="0" w:type="dxa"/>
            <w:left w:w="108" w:type="dxa"/>
            <w:bottom w:w="0" w:type="dxa"/>
            <w:right w:w="108" w:type="dxa"/>
          </w:tblCellMar>
        </w:tblPrEx>
        <w:trPr>
          <w:trHeight w:val="247" w:hRule="atLeast"/>
          <w:jc w:val="center"/>
        </w:trPr>
        <w:tc>
          <w:tcPr>
            <w:tcW w:w="4357" w:type="dxa"/>
            <w:gridSpan w:val="2"/>
            <w:vAlign w:val="center"/>
          </w:tcPr>
          <w:p>
            <w:pPr>
              <w:pStyle w:val="22"/>
              <w:jc w:val="center"/>
              <w:rPr>
                <w:rFonts w:hint="eastAsia" w:ascii="仿宋" w:hAnsi="仿宋" w:eastAsia="仿宋" w:cs="仿宋"/>
              </w:rPr>
            </w:pPr>
          </w:p>
        </w:tc>
        <w:tc>
          <w:tcPr>
            <w:tcW w:w="1716" w:type="dxa"/>
            <w:vAlign w:val="center"/>
          </w:tcPr>
          <w:p>
            <w:pPr>
              <w:pStyle w:val="22"/>
              <w:jc w:val="center"/>
              <w:rPr>
                <w:rFonts w:hint="eastAsia" w:ascii="仿宋" w:hAnsi="仿宋" w:eastAsia="仿宋" w:cs="仿宋"/>
              </w:rPr>
            </w:pPr>
          </w:p>
        </w:tc>
        <w:tc>
          <w:tcPr>
            <w:tcW w:w="1728" w:type="dxa"/>
            <w:vAlign w:val="center"/>
          </w:tcPr>
          <w:p>
            <w:pPr>
              <w:pStyle w:val="22"/>
              <w:jc w:val="center"/>
              <w:rPr>
                <w:rFonts w:hint="eastAsia" w:ascii="仿宋" w:hAnsi="仿宋" w:eastAsia="仿宋" w:cs="仿宋"/>
              </w:rPr>
            </w:pPr>
          </w:p>
        </w:tc>
        <w:tc>
          <w:tcPr>
            <w:tcW w:w="1686" w:type="dxa"/>
            <w:vAlign w:val="center"/>
          </w:tcPr>
          <w:p>
            <w:pPr>
              <w:pStyle w:val="22"/>
              <w:jc w:val="center"/>
              <w:rPr>
                <w:rFonts w:hint="eastAsia" w:ascii="仿宋" w:hAnsi="仿宋" w:eastAsia="仿宋" w:cs="仿宋"/>
              </w:rPr>
            </w:pPr>
          </w:p>
        </w:tc>
        <w:tc>
          <w:tcPr>
            <w:tcW w:w="3207" w:type="dxa"/>
            <w:gridSpan w:val="2"/>
            <w:vAlign w:val="center"/>
          </w:tcPr>
          <w:p>
            <w:pPr>
              <w:pStyle w:val="22"/>
              <w:jc w:val="center"/>
              <w:rPr>
                <w:rFonts w:hint="eastAsia" w:ascii="仿宋" w:hAnsi="仿宋" w:eastAsia="仿宋" w:cs="仿宋"/>
              </w:rPr>
            </w:pPr>
          </w:p>
        </w:tc>
        <w:tc>
          <w:tcPr>
            <w:tcW w:w="1263" w:type="dxa"/>
            <w:vAlign w:val="center"/>
          </w:tcPr>
          <w:p>
            <w:pPr>
              <w:pStyle w:val="22"/>
              <w:jc w:val="center"/>
              <w:rPr>
                <w:rFonts w:hint="eastAsia" w:ascii="仿宋" w:hAnsi="仿宋" w:eastAsia="仿宋" w:cs="仿宋"/>
              </w:rPr>
            </w:pPr>
          </w:p>
        </w:tc>
        <w:tc>
          <w:tcPr>
            <w:tcW w:w="2703" w:type="dxa"/>
            <w:gridSpan w:val="2"/>
            <w:vAlign w:val="center"/>
          </w:tcPr>
          <w:p>
            <w:pPr>
              <w:pStyle w:val="22"/>
              <w:jc w:val="right"/>
              <w:rPr>
                <w:rFonts w:hint="eastAsia" w:ascii="仿宋" w:hAnsi="仿宋" w:eastAsia="仿宋" w:cs="仿宋"/>
              </w:rPr>
            </w:pPr>
            <w:r>
              <w:rPr>
                <w:rFonts w:hint="eastAsia" w:ascii="仿宋" w:hAnsi="仿宋" w:eastAsia="仿宋" w:cs="仿宋"/>
              </w:rPr>
              <w:t>公开02表</w:t>
            </w:r>
          </w:p>
        </w:tc>
      </w:tr>
      <w:tr>
        <w:tblPrEx>
          <w:tblCellMar>
            <w:top w:w="0" w:type="dxa"/>
            <w:left w:w="108" w:type="dxa"/>
            <w:bottom w:w="0" w:type="dxa"/>
            <w:right w:w="108" w:type="dxa"/>
          </w:tblCellMar>
        </w:tblPrEx>
        <w:trPr>
          <w:trHeight w:val="247" w:hRule="atLeast"/>
          <w:jc w:val="center"/>
        </w:trPr>
        <w:tc>
          <w:tcPr>
            <w:tcW w:w="13957" w:type="dxa"/>
            <w:gridSpan w:val="8"/>
            <w:vAlign w:val="center"/>
          </w:tcPr>
          <w:p>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高新区（新吴区）应急管理局（本级）</w:t>
            </w:r>
          </w:p>
        </w:tc>
        <w:tc>
          <w:tcPr>
            <w:tcW w:w="2703" w:type="dxa"/>
            <w:gridSpan w:val="2"/>
            <w:vAlign w:val="center"/>
          </w:tcPr>
          <w:p>
            <w:pPr>
              <w:pStyle w:val="22"/>
              <w:jc w:val="right"/>
              <w:rPr>
                <w:rFonts w:hint="eastAsia" w:ascii="仿宋" w:hAnsi="仿宋" w:eastAsia="仿宋" w:cs="仿宋"/>
              </w:rPr>
            </w:pPr>
            <w:r>
              <w:rPr>
                <w:rFonts w:hint="eastAsia" w:ascii="仿宋" w:hAnsi="仿宋" w:eastAsia="仿宋" w:cs="仿宋"/>
              </w:rPr>
              <w:t>金额单位：万元</w:t>
            </w:r>
          </w:p>
        </w:tc>
      </w:tr>
      <w:tr>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其他收入</w:t>
            </w:r>
          </w:p>
        </w:tc>
      </w:tr>
      <w:tr>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功能分类</w:t>
            </w:r>
          </w:p>
          <w:p>
            <w:pPr>
              <w:pStyle w:val="22"/>
              <w:jc w:val="center"/>
              <w:rPr>
                <w:rFonts w:hint="eastAsia"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pPr>
              <w:rPr>
                <w:rFonts w:hint="eastAsia" w:ascii="仿宋" w:hAnsi="仿宋" w:eastAsia="仿宋" w:cs="仿宋"/>
              </w:rPr>
            </w:pPr>
          </w:p>
        </w:tc>
        <w:tc>
          <w:tcPr>
            <w:tcW w:w="1728" w:type="dxa"/>
            <w:vMerge w:val="continue"/>
            <w:tcBorders>
              <w:left w:val="single" w:color="000000" w:sz="4" w:space="0"/>
              <w:bottom w:val="single" w:color="000000" w:sz="4" w:space="0"/>
            </w:tcBorders>
          </w:tcPr>
          <w:p>
            <w:pPr>
              <w:rPr>
                <w:rFonts w:hint="eastAsia" w:ascii="仿宋" w:hAnsi="仿宋" w:eastAsia="仿宋" w:cs="仿宋"/>
              </w:rPr>
            </w:pPr>
          </w:p>
        </w:tc>
        <w:tc>
          <w:tcPr>
            <w:tcW w:w="1686" w:type="dxa"/>
            <w:vMerge w:val="continue"/>
            <w:tcBorders>
              <w:left w:val="single" w:color="000000" w:sz="4" w:space="0"/>
              <w:bottom w:val="single" w:color="000000" w:sz="4" w:space="0"/>
            </w:tcBorders>
          </w:tcPr>
          <w:p>
            <w:pPr>
              <w:rPr>
                <w:rFonts w:hint="eastAsia" w:ascii="仿宋" w:hAnsi="仿宋" w:eastAsia="仿宋" w:cs="仿宋"/>
              </w:rPr>
            </w:pPr>
          </w:p>
        </w:tc>
        <w:tc>
          <w:tcPr>
            <w:tcW w:w="1503" w:type="dxa"/>
            <w:vMerge w:val="continue"/>
            <w:tcBorders>
              <w:left w:val="single" w:color="000000" w:sz="4" w:space="0"/>
              <w:bottom w:val="single" w:color="000000" w:sz="4" w:space="0"/>
            </w:tcBorders>
            <w:vAlign w:val="center"/>
          </w:tcPr>
          <w:p>
            <w:pPr>
              <w:pStyle w:val="22"/>
              <w:jc w:val="center"/>
              <w:rPr>
                <w:rFonts w:hint="eastAsia" w:ascii="仿宋" w:hAnsi="仿宋" w:eastAsia="仿宋" w:cs="仿宋"/>
              </w:rPr>
            </w:pPr>
          </w:p>
        </w:tc>
        <w:tc>
          <w:tcPr>
            <w:tcW w:w="1704" w:type="dxa"/>
            <w:vMerge w:val="continue"/>
            <w:tcBorders>
              <w:left w:val="single" w:color="000000" w:sz="4" w:space="0"/>
              <w:bottom w:val="single" w:color="000000" w:sz="4" w:space="0"/>
            </w:tcBorders>
            <w:vAlign w:val="center"/>
          </w:tcPr>
          <w:p>
            <w:pPr>
              <w:pStyle w:val="22"/>
              <w:jc w:val="center"/>
              <w:rPr>
                <w:rFonts w:hint="eastAsia" w:ascii="仿宋" w:hAnsi="仿宋" w:eastAsia="仿宋" w:cs="仿宋"/>
              </w:rPr>
            </w:pPr>
          </w:p>
        </w:tc>
        <w:tc>
          <w:tcPr>
            <w:tcW w:w="1263" w:type="dxa"/>
            <w:vMerge w:val="continue"/>
            <w:tcBorders>
              <w:left w:val="single" w:color="000000" w:sz="4" w:space="0"/>
              <w:bottom w:val="single" w:color="000000" w:sz="4" w:space="0"/>
            </w:tcBorders>
          </w:tcPr>
          <w:p>
            <w:pPr>
              <w:rPr>
                <w:rFonts w:hint="eastAsia" w:ascii="仿宋" w:hAnsi="仿宋" w:eastAsia="仿宋" w:cs="仿宋"/>
              </w:rPr>
            </w:pPr>
          </w:p>
        </w:tc>
        <w:tc>
          <w:tcPr>
            <w:tcW w:w="1375" w:type="dxa"/>
            <w:vMerge w:val="continue"/>
            <w:tcBorders>
              <w:left w:val="single" w:color="000000" w:sz="4" w:space="0"/>
              <w:bottom w:val="single" w:color="000000" w:sz="4" w:space="0"/>
            </w:tcBorders>
          </w:tcPr>
          <w:p>
            <w:pPr>
              <w:rPr>
                <w:rFonts w:hint="eastAsia"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pPr>
              <w:rPr>
                <w:rFonts w:hint="eastAsia" w:ascii="仿宋" w:hAnsi="仿宋" w:eastAsia="仿宋" w:cs="仿宋"/>
              </w:rPr>
            </w:pPr>
          </w:p>
        </w:tc>
      </w:tr>
      <w:tr>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ascii="仿宋" w:hAnsi="仿宋" w:eastAsia="仿宋" w:cs="仿宋"/>
                <w:u w:color="auto"/>
              </w:rPr>
              <w:t>合计</w:t>
            </w:r>
          </w:p>
        </w:tc>
        <w:tc>
          <w:tcPr>
            <w:tcW w:w="1716" w:type="dxa"/>
            <w:tcBorders>
              <w:left w:val="single" w:color="000000" w:sz="4" w:space="0"/>
              <w:bottom w:val="single" w:color="000000" w:sz="4" w:space="0"/>
            </w:tcBorders>
            <w:vAlign w:val="center"/>
          </w:tcPr>
          <w:p>
            <w:pPr>
              <w:jc w:val="right"/>
              <w:rPr>
                <w:rFonts w:hint="eastAsia" w:ascii="仿宋" w:hAnsi="仿宋" w:eastAsia="仿宋" w:cs="仿宋"/>
                <w:sz w:val="20"/>
                <w:szCs w:val="20"/>
              </w:rPr>
            </w:pPr>
            <w:r>
              <w:rPr>
                <w:rFonts w:hint="eastAsia" w:ascii="仿宋" w:hAnsi="仿宋" w:eastAsia="仿宋" w:cs="仿宋"/>
                <w:sz w:val="20"/>
                <w:szCs w:val="20"/>
              </w:rPr>
              <w:t>1,507.11</w:t>
            </w:r>
          </w:p>
        </w:tc>
        <w:tc>
          <w:tcPr>
            <w:tcW w:w="1728" w:type="dxa"/>
            <w:tcBorders>
              <w:left w:val="single" w:color="000000" w:sz="4" w:space="0"/>
              <w:bottom w:val="single" w:color="000000" w:sz="4" w:space="0"/>
            </w:tcBorders>
            <w:vAlign w:val="center"/>
          </w:tcPr>
          <w:p>
            <w:pPr>
              <w:jc w:val="right"/>
              <w:rPr>
                <w:rFonts w:hint="eastAsia" w:ascii="仿宋" w:hAnsi="仿宋" w:eastAsia="仿宋" w:cs="仿宋"/>
                <w:sz w:val="20"/>
                <w:szCs w:val="20"/>
              </w:rPr>
            </w:pPr>
            <w:r>
              <w:rPr>
                <w:rFonts w:hint="eastAsia" w:ascii="仿宋" w:hAnsi="仿宋" w:eastAsia="仿宋" w:cs="仿宋"/>
                <w:sz w:val="20"/>
                <w:szCs w:val="20"/>
              </w:rPr>
              <w:t>1,507.11</w:t>
            </w:r>
          </w:p>
        </w:tc>
        <w:tc>
          <w:tcPr>
            <w:tcW w:w="1686" w:type="dxa"/>
            <w:tcBorders>
              <w:left w:val="single" w:color="000000" w:sz="4" w:space="0"/>
              <w:bottom w:val="single" w:color="000000" w:sz="4" w:space="0"/>
            </w:tcBorders>
            <w:vAlign w:val="center"/>
          </w:tcPr>
          <w:p>
            <w:pPr>
              <w:jc w:val="right"/>
              <w:rPr>
                <w:rFonts w:hint="eastAsia" w:ascii="仿宋" w:hAnsi="仿宋" w:eastAsia="仿宋" w:cs="仿宋"/>
                <w:sz w:val="20"/>
                <w:szCs w:val="20"/>
              </w:rPr>
            </w:pPr>
          </w:p>
        </w:tc>
        <w:tc>
          <w:tcPr>
            <w:tcW w:w="1503" w:type="dxa"/>
            <w:tcBorders>
              <w:left w:val="single" w:color="000000" w:sz="4" w:space="0"/>
              <w:bottom w:val="single" w:color="000000" w:sz="4" w:space="0"/>
            </w:tcBorders>
            <w:vAlign w:val="center"/>
          </w:tcPr>
          <w:p>
            <w:pPr>
              <w:jc w:val="right"/>
              <w:rPr>
                <w:rFonts w:hint="eastAsia" w:ascii="仿宋" w:hAnsi="仿宋" w:eastAsia="仿宋" w:cs="仿宋"/>
                <w:sz w:val="20"/>
                <w:szCs w:val="20"/>
              </w:rPr>
            </w:pPr>
          </w:p>
        </w:tc>
        <w:tc>
          <w:tcPr>
            <w:tcW w:w="1704" w:type="dxa"/>
            <w:tcBorders>
              <w:left w:val="single" w:color="000000" w:sz="4" w:space="0"/>
              <w:bottom w:val="single" w:color="000000" w:sz="4" w:space="0"/>
            </w:tcBorders>
            <w:vAlign w:val="center"/>
          </w:tcPr>
          <w:p>
            <w:pPr>
              <w:jc w:val="right"/>
              <w:rPr>
                <w:rFonts w:hint="eastAsia" w:ascii="仿宋" w:hAnsi="仿宋" w:eastAsia="仿宋" w:cs="仿宋"/>
                <w:sz w:val="20"/>
                <w:szCs w:val="20"/>
              </w:rPr>
            </w:pPr>
          </w:p>
        </w:tc>
        <w:tc>
          <w:tcPr>
            <w:tcW w:w="1263" w:type="dxa"/>
            <w:tcBorders>
              <w:left w:val="single" w:color="000000" w:sz="4" w:space="0"/>
              <w:bottom w:val="single" w:color="000000" w:sz="4" w:space="0"/>
            </w:tcBorders>
            <w:vAlign w:val="center"/>
          </w:tcPr>
          <w:p>
            <w:pPr>
              <w:jc w:val="right"/>
              <w:rPr>
                <w:rFonts w:hint="eastAsia" w:ascii="仿宋" w:hAnsi="仿宋" w:eastAsia="仿宋" w:cs="仿宋"/>
                <w:sz w:val="20"/>
                <w:szCs w:val="20"/>
              </w:rPr>
            </w:pPr>
          </w:p>
        </w:tc>
        <w:tc>
          <w:tcPr>
            <w:tcW w:w="1375" w:type="dxa"/>
            <w:tcBorders>
              <w:left w:val="single" w:color="000000" w:sz="4" w:space="0"/>
              <w:bottom w:val="single" w:color="000000" w:sz="4" w:space="0"/>
            </w:tcBorders>
            <w:vAlign w:val="center"/>
          </w:tcPr>
          <w:p>
            <w:pPr>
              <w:jc w:val="right"/>
              <w:rPr>
                <w:rFonts w:hint="eastAsia" w:ascii="仿宋" w:hAnsi="仿宋" w:eastAsia="仿宋" w:cs="仿宋"/>
                <w:sz w:val="20"/>
                <w:szCs w:val="20"/>
              </w:rPr>
            </w:pPr>
          </w:p>
        </w:tc>
        <w:tc>
          <w:tcPr>
            <w:tcW w:w="1328" w:type="dxa"/>
            <w:tcBorders>
              <w:left w:val="single" w:color="000000" w:sz="4" w:space="0"/>
              <w:bottom w:val="single" w:color="000000" w:sz="4" w:space="0"/>
              <w:right w:val="single" w:color="000000" w:sz="4" w:space="0"/>
            </w:tcBorders>
            <w:vAlign w:val="center"/>
          </w:tcPr>
          <w:p>
            <w:pPr>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208</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83.95</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83.95</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20805</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行政事业单位养老支出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83.95</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83.95</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2080505</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55.97</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55.97</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2080506</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27.98</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27.98</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210</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卫生健康支出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23.09</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23.09</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21011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行政事业单位医疗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23.09</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23.09</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2101101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行政单位医疗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23.09</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23.09</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196.59</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196.59</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196.59</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196.59</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55.08</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55.08</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88.42</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88.42</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2210203</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购房补贴</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53.09</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53.09</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224</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灾害防治及应急管理支出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1,203.48</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1,203.48</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22401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应急管理事务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1,203.48</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1,203.48</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2240101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行政运行</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713.54</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713.54</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2240109</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应急管理</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489.94</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489.94</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bl>
    <w:p>
      <w:pPr>
        <w:spacing w:before="66"/>
        <w:jc w:val="both"/>
        <w:rPr>
          <w:rFonts w:hint="eastAsia" w:ascii="仿宋" w:hAnsi="仿宋" w:eastAsia="仿宋" w:cs="仿宋"/>
        </w:rPr>
      </w:pPr>
      <w:r>
        <w:rPr>
          <w:rFonts w:hint="eastAsia" w:ascii="仿宋" w:hAnsi="仿宋" w:eastAsia="仿宋" w:cs="仿宋"/>
          <w:color w:val="000000"/>
        </w:rPr>
        <w:t>注：</w:t>
      </w:r>
      <w:r>
        <w:rPr>
          <w:rFonts w:hint="eastAsia" w:ascii="仿宋" w:hAnsi="仿宋" w:eastAsia="仿宋" w:cs="仿宋"/>
        </w:rPr>
        <w:t>本表反映本年度取得的各项收入情况。本表金额单位转换时可能存在尾数误差。</w:t>
      </w:r>
    </w:p>
    <w:p>
      <w:pPr>
        <w:spacing w:before="66"/>
        <w:ind w:left="57" w:firstLine="220" w:firstLineChars="100"/>
        <w:jc w:val="both"/>
        <w:rPr>
          <w:rFonts w:hint="eastAsia" w:ascii="仿宋" w:hAnsi="仿宋" w:eastAsia="仿宋" w:cs="仿宋"/>
        </w:rPr>
        <w:sectPr>
          <w:footerReference r:id="rId8" w:type="default"/>
          <w:pgSz w:w="16838" w:h="11906" w:orient="landscape"/>
          <w:pgMar w:top="720" w:right="113" w:bottom="720" w:left="113" w:header="170" w:footer="280" w:gutter="0"/>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tblPrEx>
          <w:tblCellMar>
            <w:top w:w="55" w:type="dxa"/>
            <w:left w:w="55" w:type="dxa"/>
            <w:bottom w:w="55" w:type="dxa"/>
            <w:right w:w="55" w:type="dxa"/>
          </w:tblCellMar>
        </w:tblPrEx>
        <w:trPr>
          <w:trHeight w:val="532" w:hRule="atLeast"/>
        </w:trPr>
        <w:tc>
          <w:tcPr>
            <w:tcW w:w="15689" w:type="dxa"/>
            <w:gridSpan w:val="8"/>
            <w:vAlign w:val="center"/>
          </w:tcPr>
          <w:p>
            <w:pPr>
              <w:pStyle w:val="5"/>
              <w:rPr>
                <w:rFonts w:hint="eastAsia" w:ascii="仿宋" w:hAnsi="仿宋" w:eastAsia="仿宋" w:cs="仿宋"/>
                <w:b/>
                <w:bCs/>
                <w:sz w:val="44"/>
                <w:szCs w:val="44"/>
              </w:rPr>
            </w:pPr>
            <w:r>
              <w:rPr>
                <w:rFonts w:hint="eastAsia" w:ascii="宋体" w:hAnsi="宋体" w:eastAsia="宋体" w:cs="宋体"/>
                <w:b/>
                <w:bCs/>
                <w:color w:val="000000"/>
                <w:lang w:eastAsia="ar-SA"/>
              </w:rPr>
              <w:t>支出决算表</w:t>
            </w:r>
          </w:p>
        </w:tc>
      </w:tr>
      <w:tr>
        <w:tblPrEx>
          <w:tblCellMar>
            <w:top w:w="55" w:type="dxa"/>
            <w:left w:w="55" w:type="dxa"/>
            <w:bottom w:w="55" w:type="dxa"/>
            <w:right w:w="55" w:type="dxa"/>
          </w:tblCellMar>
        </w:tblPrEx>
        <w:trPr>
          <w:trHeight w:val="227" w:hRule="atLeast"/>
        </w:trPr>
        <w:tc>
          <w:tcPr>
            <w:tcW w:w="5115" w:type="dxa"/>
            <w:gridSpan w:val="2"/>
            <w:vAlign w:val="center"/>
          </w:tcPr>
          <w:p>
            <w:pPr>
              <w:pStyle w:val="22"/>
              <w:jc w:val="center"/>
              <w:rPr>
                <w:rFonts w:hint="eastAsia" w:ascii="仿宋" w:hAnsi="仿宋" w:eastAsia="仿宋" w:cs="仿宋"/>
              </w:rPr>
            </w:pPr>
          </w:p>
        </w:tc>
        <w:tc>
          <w:tcPr>
            <w:tcW w:w="2164" w:type="dxa"/>
            <w:vAlign w:val="center"/>
          </w:tcPr>
          <w:p>
            <w:pPr>
              <w:pStyle w:val="22"/>
              <w:jc w:val="center"/>
              <w:rPr>
                <w:rFonts w:hint="eastAsia" w:ascii="仿宋" w:hAnsi="仿宋" w:eastAsia="仿宋" w:cs="仿宋"/>
                <w:sz w:val="20"/>
              </w:rPr>
            </w:pPr>
          </w:p>
        </w:tc>
        <w:tc>
          <w:tcPr>
            <w:tcW w:w="1897" w:type="dxa"/>
            <w:vAlign w:val="center"/>
          </w:tcPr>
          <w:p>
            <w:pPr>
              <w:pStyle w:val="22"/>
              <w:jc w:val="center"/>
              <w:rPr>
                <w:rFonts w:hint="eastAsia" w:ascii="仿宋" w:hAnsi="仿宋" w:eastAsia="仿宋" w:cs="仿宋"/>
                <w:sz w:val="20"/>
              </w:rPr>
            </w:pPr>
          </w:p>
        </w:tc>
        <w:tc>
          <w:tcPr>
            <w:tcW w:w="1739" w:type="dxa"/>
            <w:vAlign w:val="center"/>
          </w:tcPr>
          <w:p>
            <w:pPr>
              <w:pStyle w:val="22"/>
              <w:jc w:val="center"/>
              <w:rPr>
                <w:rFonts w:hint="eastAsia" w:ascii="仿宋" w:hAnsi="仿宋" w:eastAsia="仿宋" w:cs="仿宋"/>
                <w:sz w:val="20"/>
              </w:rPr>
            </w:pPr>
          </w:p>
        </w:tc>
        <w:tc>
          <w:tcPr>
            <w:tcW w:w="1715" w:type="dxa"/>
            <w:vAlign w:val="center"/>
          </w:tcPr>
          <w:p>
            <w:pPr>
              <w:pStyle w:val="22"/>
              <w:jc w:val="center"/>
              <w:rPr>
                <w:rFonts w:hint="eastAsia" w:ascii="仿宋" w:hAnsi="仿宋" w:eastAsia="仿宋" w:cs="仿宋"/>
                <w:sz w:val="20"/>
              </w:rPr>
            </w:pPr>
          </w:p>
        </w:tc>
        <w:tc>
          <w:tcPr>
            <w:tcW w:w="3059" w:type="dxa"/>
            <w:gridSpan w:val="2"/>
            <w:vAlign w:val="center"/>
          </w:tcPr>
          <w:p>
            <w:pPr>
              <w:pStyle w:val="22"/>
              <w:jc w:val="right"/>
              <w:rPr>
                <w:rFonts w:hint="eastAsia" w:ascii="仿宋" w:hAnsi="仿宋" w:eastAsia="仿宋" w:cs="仿宋"/>
              </w:rPr>
            </w:pPr>
            <w:r>
              <w:rPr>
                <w:rFonts w:hint="eastAsia" w:ascii="仿宋" w:hAnsi="仿宋" w:eastAsia="仿宋" w:cs="仿宋"/>
              </w:rPr>
              <w:t>公开03表</w:t>
            </w:r>
          </w:p>
        </w:tc>
      </w:tr>
      <w:tr>
        <w:tblPrEx>
          <w:tblCellMar>
            <w:top w:w="55" w:type="dxa"/>
            <w:left w:w="55" w:type="dxa"/>
            <w:bottom w:w="55" w:type="dxa"/>
            <w:right w:w="55" w:type="dxa"/>
          </w:tblCellMar>
        </w:tblPrEx>
        <w:trPr>
          <w:trHeight w:val="90" w:hRule="atLeast"/>
        </w:trPr>
        <w:tc>
          <w:tcPr>
            <w:tcW w:w="12630" w:type="dxa"/>
            <w:gridSpan w:val="6"/>
            <w:vAlign w:val="center"/>
          </w:tcPr>
          <w:p>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高新区（新吴区）应急管理局（本级）</w:t>
            </w:r>
          </w:p>
        </w:tc>
        <w:tc>
          <w:tcPr>
            <w:tcW w:w="3059" w:type="dxa"/>
            <w:gridSpan w:val="2"/>
            <w:vAlign w:val="center"/>
          </w:tcPr>
          <w:p>
            <w:pPr>
              <w:pStyle w:val="22"/>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项目</w:t>
            </w:r>
          </w:p>
        </w:tc>
        <w:tc>
          <w:tcPr>
            <w:tcW w:w="2164" w:type="dxa"/>
            <w:vMerge w:val="restart"/>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本年支出合计</w:t>
            </w:r>
          </w:p>
        </w:tc>
        <w:tc>
          <w:tcPr>
            <w:tcW w:w="1897" w:type="dxa"/>
            <w:vMerge w:val="restart"/>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基本支出</w:t>
            </w:r>
          </w:p>
        </w:tc>
        <w:tc>
          <w:tcPr>
            <w:tcW w:w="1739" w:type="dxa"/>
            <w:vMerge w:val="restart"/>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项目支出</w:t>
            </w:r>
          </w:p>
        </w:tc>
        <w:tc>
          <w:tcPr>
            <w:tcW w:w="1715" w:type="dxa"/>
            <w:vMerge w:val="restart"/>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上缴上级支出</w:t>
            </w:r>
          </w:p>
        </w:tc>
        <w:tc>
          <w:tcPr>
            <w:tcW w:w="1633" w:type="dxa"/>
            <w:vMerge w:val="restart"/>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对附属单位补助支出</w:t>
            </w:r>
          </w:p>
        </w:tc>
      </w:tr>
      <w:tr>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功能分类</w:t>
            </w:r>
          </w:p>
          <w:p>
            <w:pPr>
              <w:pStyle w:val="22"/>
              <w:jc w:val="center"/>
              <w:rPr>
                <w:rFonts w:hint="eastAsia" w:ascii="仿宋" w:hAnsi="仿宋" w:eastAsia="仿宋" w:cs="仿宋"/>
              </w:rPr>
            </w:pPr>
            <w:r>
              <w:rPr>
                <w:rFonts w:hint="eastAsia" w:ascii="仿宋" w:hAnsi="仿宋" w:eastAsia="仿宋" w:cs="仿宋"/>
              </w:rPr>
              <w:t>科目编码</w:t>
            </w:r>
          </w:p>
        </w:tc>
        <w:tc>
          <w:tcPr>
            <w:tcW w:w="3927"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科目名称</w:t>
            </w:r>
          </w:p>
        </w:tc>
        <w:tc>
          <w:tcPr>
            <w:tcW w:w="2164" w:type="dxa"/>
            <w:vMerge w:val="continue"/>
            <w:tcBorders>
              <w:left w:val="single" w:color="000000" w:sz="4" w:space="0"/>
              <w:bottom w:val="single" w:color="000000" w:sz="4" w:space="0"/>
            </w:tcBorders>
          </w:tcPr>
          <w:p>
            <w:pPr>
              <w:rPr>
                <w:rFonts w:hint="eastAsia" w:ascii="仿宋" w:hAnsi="仿宋" w:eastAsia="仿宋" w:cs="仿宋"/>
              </w:rPr>
            </w:pPr>
          </w:p>
        </w:tc>
        <w:tc>
          <w:tcPr>
            <w:tcW w:w="1897" w:type="dxa"/>
            <w:vMerge w:val="continue"/>
            <w:tcBorders>
              <w:left w:val="single" w:color="000000" w:sz="4" w:space="0"/>
              <w:bottom w:val="single" w:color="000000" w:sz="4" w:space="0"/>
            </w:tcBorders>
          </w:tcPr>
          <w:p>
            <w:pPr>
              <w:rPr>
                <w:rFonts w:hint="eastAsia" w:ascii="仿宋" w:hAnsi="仿宋" w:eastAsia="仿宋" w:cs="仿宋"/>
              </w:rPr>
            </w:pPr>
          </w:p>
        </w:tc>
        <w:tc>
          <w:tcPr>
            <w:tcW w:w="1739" w:type="dxa"/>
            <w:vMerge w:val="continue"/>
            <w:tcBorders>
              <w:left w:val="single" w:color="000000" w:sz="4" w:space="0"/>
              <w:bottom w:val="single" w:color="000000" w:sz="4" w:space="0"/>
            </w:tcBorders>
          </w:tcPr>
          <w:p>
            <w:pPr>
              <w:rPr>
                <w:rFonts w:hint="eastAsia" w:ascii="仿宋" w:hAnsi="仿宋" w:eastAsia="仿宋" w:cs="仿宋"/>
              </w:rPr>
            </w:pPr>
          </w:p>
        </w:tc>
        <w:tc>
          <w:tcPr>
            <w:tcW w:w="1715" w:type="dxa"/>
            <w:vMerge w:val="continue"/>
            <w:tcBorders>
              <w:left w:val="single" w:color="000000" w:sz="4" w:space="0"/>
              <w:bottom w:val="single" w:color="000000" w:sz="4" w:space="0"/>
            </w:tcBorders>
          </w:tcPr>
          <w:p>
            <w:pPr>
              <w:rPr>
                <w:rFonts w:hint="eastAsia" w:ascii="仿宋" w:hAnsi="仿宋" w:eastAsia="仿宋" w:cs="仿宋"/>
              </w:rPr>
            </w:pPr>
          </w:p>
        </w:tc>
        <w:tc>
          <w:tcPr>
            <w:tcW w:w="1633" w:type="dxa"/>
            <w:vMerge w:val="continue"/>
            <w:tcBorders>
              <w:left w:val="single" w:color="000000" w:sz="4" w:space="0"/>
              <w:bottom w:val="single" w:color="000000" w:sz="4" w:space="0"/>
            </w:tcBorders>
          </w:tcPr>
          <w:p>
            <w:pPr>
              <w:rPr>
                <w:rFonts w:hint="eastAsia" w:ascii="仿宋" w:hAnsi="仿宋" w:eastAsia="仿宋" w:cs="仿宋"/>
              </w:rPr>
            </w:pPr>
          </w:p>
        </w:tc>
        <w:tc>
          <w:tcPr>
            <w:tcW w:w="1426" w:type="dxa"/>
            <w:vMerge w:val="continue"/>
            <w:tcBorders>
              <w:left w:val="single" w:color="000000" w:sz="4" w:space="0"/>
              <w:bottom w:val="single" w:color="000000" w:sz="4" w:space="0"/>
              <w:right w:val="single" w:color="000000" w:sz="4" w:space="0"/>
            </w:tcBorders>
          </w:tcPr>
          <w:p>
            <w:pPr>
              <w:rPr>
                <w:rFonts w:hint="eastAsia" w:ascii="仿宋" w:hAnsi="仿宋" w:eastAsia="仿宋" w:cs="仿宋"/>
              </w:rPr>
            </w:pPr>
          </w:p>
        </w:tc>
      </w:tr>
      <w:tr>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ascii="仿宋" w:hAnsi="仿宋" w:eastAsia="仿宋" w:cs="仿宋"/>
                <w:u w:color="auto"/>
              </w:rPr>
              <w:t>合计</w:t>
            </w:r>
          </w:p>
        </w:tc>
        <w:tc>
          <w:tcPr>
            <w:tcW w:w="2164" w:type="dxa"/>
            <w:tcBorders>
              <w:left w:val="single" w:color="000000" w:sz="4" w:space="0"/>
              <w:bottom w:val="single" w:color="000000" w:sz="4" w:space="0"/>
            </w:tcBorders>
            <w:vAlign w:val="center"/>
          </w:tcPr>
          <w:p>
            <w:pPr>
              <w:jc w:val="right"/>
              <w:rPr>
                <w:rFonts w:hint="eastAsia" w:ascii="仿宋" w:hAnsi="仿宋" w:eastAsia="仿宋" w:cs="仿宋"/>
                <w:sz w:val="22"/>
                <w:szCs w:val="22"/>
              </w:rPr>
            </w:pPr>
            <w:r>
              <w:rPr>
                <w:rFonts w:hint="eastAsia" w:ascii="仿宋" w:hAnsi="仿宋" w:eastAsia="仿宋" w:cs="仿宋"/>
                <w:sz w:val="22"/>
                <w:szCs w:val="22"/>
              </w:rPr>
              <w:t>1,507.11</w:t>
            </w:r>
          </w:p>
        </w:tc>
        <w:tc>
          <w:tcPr>
            <w:tcW w:w="1897" w:type="dxa"/>
            <w:tcBorders>
              <w:left w:val="single" w:color="000000" w:sz="4" w:space="0"/>
              <w:bottom w:val="single" w:color="000000" w:sz="4" w:space="0"/>
            </w:tcBorders>
            <w:vAlign w:val="center"/>
          </w:tcPr>
          <w:p>
            <w:pPr>
              <w:jc w:val="right"/>
              <w:rPr>
                <w:rFonts w:hint="eastAsia" w:ascii="仿宋" w:hAnsi="仿宋" w:eastAsia="仿宋" w:cs="仿宋"/>
                <w:sz w:val="22"/>
                <w:szCs w:val="22"/>
              </w:rPr>
            </w:pPr>
            <w:r>
              <w:rPr>
                <w:rFonts w:hint="eastAsia" w:ascii="仿宋" w:hAnsi="仿宋" w:eastAsia="仿宋" w:cs="仿宋"/>
                <w:sz w:val="22"/>
                <w:szCs w:val="22"/>
              </w:rPr>
              <w:t>1,017.17</w:t>
            </w:r>
          </w:p>
        </w:tc>
        <w:tc>
          <w:tcPr>
            <w:tcW w:w="1739" w:type="dxa"/>
            <w:tcBorders>
              <w:left w:val="single" w:color="000000" w:sz="4" w:space="0"/>
              <w:bottom w:val="single" w:color="000000" w:sz="4" w:space="0"/>
            </w:tcBorders>
            <w:vAlign w:val="center"/>
          </w:tcPr>
          <w:p>
            <w:pPr>
              <w:jc w:val="right"/>
              <w:rPr>
                <w:rFonts w:hint="eastAsia" w:ascii="仿宋" w:hAnsi="仿宋" w:eastAsia="仿宋" w:cs="仿宋"/>
                <w:sz w:val="22"/>
                <w:szCs w:val="22"/>
              </w:rPr>
            </w:pPr>
            <w:r>
              <w:rPr>
                <w:rFonts w:hint="eastAsia" w:ascii="仿宋" w:hAnsi="仿宋" w:eastAsia="仿宋" w:cs="仿宋"/>
                <w:sz w:val="22"/>
                <w:szCs w:val="22"/>
              </w:rPr>
              <w:t>489.94</w:t>
            </w:r>
          </w:p>
        </w:tc>
        <w:tc>
          <w:tcPr>
            <w:tcW w:w="1715" w:type="dxa"/>
            <w:tcBorders>
              <w:left w:val="single" w:color="000000" w:sz="4" w:space="0"/>
              <w:bottom w:val="single" w:color="000000" w:sz="4" w:space="0"/>
            </w:tcBorders>
            <w:vAlign w:val="center"/>
          </w:tcPr>
          <w:p>
            <w:pPr>
              <w:jc w:val="right"/>
              <w:rPr>
                <w:rFonts w:hint="eastAsia" w:ascii="仿宋" w:hAnsi="仿宋" w:eastAsia="仿宋" w:cs="仿宋"/>
                <w:sz w:val="22"/>
                <w:szCs w:val="22"/>
              </w:rPr>
            </w:pPr>
          </w:p>
        </w:tc>
        <w:tc>
          <w:tcPr>
            <w:tcW w:w="1633" w:type="dxa"/>
            <w:tcBorders>
              <w:left w:val="single" w:color="000000" w:sz="4" w:space="0"/>
              <w:bottom w:val="single" w:color="000000" w:sz="4" w:space="0"/>
            </w:tcBorders>
            <w:vAlign w:val="center"/>
          </w:tcPr>
          <w:p>
            <w:pPr>
              <w:jc w:val="right"/>
              <w:rPr>
                <w:rFonts w:hint="eastAsia" w:ascii="仿宋" w:hAnsi="仿宋" w:eastAsia="仿宋" w:cs="仿宋"/>
                <w:sz w:val="22"/>
                <w:szCs w:val="22"/>
              </w:rPr>
            </w:pPr>
          </w:p>
        </w:tc>
        <w:tc>
          <w:tcPr>
            <w:tcW w:w="1426" w:type="dxa"/>
            <w:tcBorders>
              <w:left w:val="single" w:color="000000" w:sz="4" w:space="0"/>
              <w:bottom w:val="single" w:color="000000" w:sz="4" w:space="0"/>
              <w:right w:val="single" w:color="000000" w:sz="4" w:space="0"/>
            </w:tcBorders>
            <w:vAlign w:val="center"/>
          </w:tcPr>
          <w:p>
            <w:pPr>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208</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社会保障和就业支出</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83.95</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83.95</w:t>
            </w: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20805</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 xml:space="preserve">  行政事业单位养老支出</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83.95</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83.95</w:t>
            </w: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2080505</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 xml:space="preserve">    机关事业单位基本养老保险缴费支出</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55.97</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55.97</w:t>
            </w: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2080506</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 xml:space="preserve">    机关事业单位职业年金缴费支出</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27.98</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27.98</w:t>
            </w: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210</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卫生健康支出</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23.09</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23.09</w:t>
            </w: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21011</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 xml:space="preserve">  行政事业单位医疗</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23.09</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23.09</w:t>
            </w: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2101101</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 xml:space="preserve">    行政单位医疗</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23.09</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23.09</w:t>
            </w: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221</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住房保障支出</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196.59</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196.59</w:t>
            </w: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22102</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196.59</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196.59</w:t>
            </w: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2210201</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55.08</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55.08</w:t>
            </w: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2210202</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88.42</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88.42</w:t>
            </w: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2210203</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 xml:space="preserve">    购房补贴</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53.09</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53.09</w:t>
            </w: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224</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灾害防治及应急管理支出</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1,203.48</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713.54</w:t>
            </w: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489.94</w:t>
            </w: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22401</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 xml:space="preserve">  应急管理事务</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1,203.48</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713.54</w:t>
            </w: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489.94</w:t>
            </w: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2240101</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 xml:space="preserve">    行政运行</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713.54</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713.54</w:t>
            </w: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2240109</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 xml:space="preserve">    应急管理</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489.94</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489.94</w:t>
            </w: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bl>
    <w:p>
      <w:pPr>
        <w:spacing w:before="59"/>
        <w:rPr>
          <w:rFonts w:hint="eastAsia" w:ascii="仿宋" w:hAnsi="仿宋" w:eastAsia="仿宋" w:cs="仿宋"/>
        </w:rPr>
      </w:pPr>
      <w:r>
        <w:rPr>
          <w:rFonts w:hint="eastAsia" w:ascii="仿宋" w:hAnsi="仿宋" w:eastAsia="仿宋" w:cs="仿宋"/>
        </w:rPr>
        <w:t>注：本表反映本年度各项支出情况。本表金额单位转换时可能存在尾数误差。</w:t>
      </w:r>
    </w:p>
    <w:p>
      <w:pPr>
        <w:spacing w:before="59"/>
        <w:ind w:left="57"/>
        <w:rPr>
          <w:rFonts w:hint="eastAsia" w:ascii="仿宋" w:hAnsi="仿宋" w:eastAsia="仿宋" w:cs="仿宋"/>
        </w:rPr>
        <w:sectPr>
          <w:footerReference r:id="rId9" w:type="default"/>
          <w:pgSz w:w="16838" w:h="11906" w:orient="landscape"/>
          <w:pgMar w:top="720" w:right="567" w:bottom="720" w:left="567" w:header="170" w:footer="280" w:gutter="0"/>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tblPrEx>
          <w:tblCellMar>
            <w:top w:w="55" w:type="dxa"/>
            <w:left w:w="55" w:type="dxa"/>
            <w:bottom w:w="55" w:type="dxa"/>
            <w:right w:w="55" w:type="dxa"/>
          </w:tblCellMar>
        </w:tblPrEx>
        <w:trPr>
          <w:trHeight w:val="319" w:hRule="atLeast"/>
        </w:trPr>
        <w:tc>
          <w:tcPr>
            <w:tcW w:w="15372" w:type="dxa"/>
            <w:gridSpan w:val="10"/>
          </w:tcPr>
          <w:p>
            <w:pPr>
              <w:pStyle w:val="22"/>
              <w:jc w:val="center"/>
              <w:rPr>
                <w:rFonts w:hint="eastAsia" w:ascii="仿宋" w:hAnsi="仿宋" w:eastAsia="仿宋" w:cs="仿宋"/>
                <w:b/>
                <w:bCs/>
                <w:sz w:val="44"/>
                <w:szCs w:val="44"/>
              </w:rPr>
            </w:pPr>
            <w:r>
              <w:rPr>
                <w:rFonts w:hint="eastAsia"/>
                <w:b/>
                <w:bCs/>
                <w:color w:val="000000"/>
                <w:sz w:val="36"/>
                <w:szCs w:val="36"/>
                <w:lang w:eastAsia="ar-SA"/>
              </w:rPr>
              <w:t>财政拨款收入支出决算总表</w:t>
            </w:r>
          </w:p>
        </w:tc>
      </w:tr>
      <w:tr>
        <w:tblPrEx>
          <w:tblCellMar>
            <w:top w:w="55" w:type="dxa"/>
            <w:left w:w="55" w:type="dxa"/>
            <w:bottom w:w="55" w:type="dxa"/>
            <w:right w:w="55" w:type="dxa"/>
          </w:tblCellMar>
        </w:tblPrEx>
        <w:trPr>
          <w:trHeight w:val="319" w:hRule="atLeast"/>
        </w:trPr>
        <w:tc>
          <w:tcPr>
            <w:tcW w:w="5562" w:type="dxa"/>
            <w:gridSpan w:val="2"/>
          </w:tcPr>
          <w:p>
            <w:pPr>
              <w:pStyle w:val="22"/>
              <w:rPr>
                <w:rFonts w:hint="eastAsia" w:ascii="仿宋" w:hAnsi="仿宋" w:eastAsia="仿宋" w:cs="仿宋"/>
                <w:sz w:val="20"/>
              </w:rPr>
            </w:pPr>
          </w:p>
        </w:tc>
        <w:tc>
          <w:tcPr>
            <w:tcW w:w="847" w:type="dxa"/>
          </w:tcPr>
          <w:p>
            <w:pPr>
              <w:pStyle w:val="22"/>
              <w:rPr>
                <w:rFonts w:hint="eastAsia" w:ascii="仿宋" w:hAnsi="仿宋" w:eastAsia="仿宋" w:cs="仿宋"/>
                <w:sz w:val="20"/>
              </w:rPr>
            </w:pPr>
          </w:p>
        </w:tc>
        <w:tc>
          <w:tcPr>
            <w:tcW w:w="1913" w:type="dxa"/>
          </w:tcPr>
          <w:p>
            <w:pPr>
              <w:pStyle w:val="22"/>
              <w:rPr>
                <w:rFonts w:hint="eastAsia" w:ascii="仿宋" w:hAnsi="仿宋" w:eastAsia="仿宋" w:cs="仿宋"/>
                <w:sz w:val="20"/>
              </w:rPr>
            </w:pPr>
          </w:p>
        </w:tc>
        <w:tc>
          <w:tcPr>
            <w:tcW w:w="2635" w:type="dxa"/>
            <w:gridSpan w:val="2"/>
          </w:tcPr>
          <w:p>
            <w:pPr>
              <w:pStyle w:val="22"/>
              <w:rPr>
                <w:rFonts w:hint="eastAsia" w:ascii="仿宋" w:hAnsi="仿宋" w:eastAsia="仿宋" w:cs="仿宋"/>
                <w:sz w:val="20"/>
              </w:rPr>
            </w:pPr>
          </w:p>
        </w:tc>
        <w:tc>
          <w:tcPr>
            <w:tcW w:w="1194" w:type="dxa"/>
          </w:tcPr>
          <w:p>
            <w:pPr>
              <w:pStyle w:val="22"/>
              <w:rPr>
                <w:rFonts w:hint="eastAsia" w:ascii="仿宋" w:hAnsi="仿宋" w:eastAsia="仿宋" w:cs="仿宋"/>
                <w:sz w:val="20"/>
              </w:rPr>
            </w:pPr>
          </w:p>
        </w:tc>
        <w:tc>
          <w:tcPr>
            <w:tcW w:w="3221" w:type="dxa"/>
            <w:gridSpan w:val="3"/>
            <w:vAlign w:val="center"/>
          </w:tcPr>
          <w:p>
            <w:pPr>
              <w:pStyle w:val="22"/>
              <w:jc w:val="right"/>
              <w:rPr>
                <w:rFonts w:hint="eastAsia" w:ascii="仿宋" w:hAnsi="仿宋" w:eastAsia="仿宋" w:cs="仿宋"/>
              </w:rPr>
            </w:pPr>
            <w:r>
              <w:rPr>
                <w:rFonts w:hint="eastAsia" w:ascii="仿宋" w:hAnsi="仿宋" w:eastAsia="仿宋" w:cs="仿宋"/>
              </w:rPr>
              <w:t>公开04表</w:t>
            </w:r>
          </w:p>
        </w:tc>
      </w:tr>
      <w:tr>
        <w:tblPrEx>
          <w:tblCellMar>
            <w:top w:w="55" w:type="dxa"/>
            <w:left w:w="55" w:type="dxa"/>
            <w:bottom w:w="55" w:type="dxa"/>
            <w:right w:w="55" w:type="dxa"/>
          </w:tblCellMar>
        </w:tblPrEx>
        <w:trPr>
          <w:trHeight w:val="319" w:hRule="atLeast"/>
        </w:trPr>
        <w:tc>
          <w:tcPr>
            <w:tcW w:w="12151" w:type="dxa"/>
            <w:gridSpan w:val="7"/>
          </w:tcPr>
          <w:p>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高新区（新吴区）应急管理局（本级）</w:t>
            </w:r>
          </w:p>
        </w:tc>
        <w:tc>
          <w:tcPr>
            <w:tcW w:w="3221" w:type="dxa"/>
            <w:gridSpan w:val="3"/>
            <w:vAlign w:val="center"/>
          </w:tcPr>
          <w:p>
            <w:pPr>
              <w:pStyle w:val="22"/>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pPr>
              <w:pStyle w:val="22"/>
              <w:jc w:val="center"/>
              <w:rPr>
                <w:rFonts w:hint="eastAsia" w:ascii="仿宋" w:hAnsi="仿宋" w:eastAsia="仿宋" w:cs="仿宋"/>
              </w:rPr>
            </w:pPr>
            <w:r>
              <w:rPr>
                <w:rFonts w:hint="eastAsia" w:ascii="仿宋" w:hAnsi="仿宋" w:eastAsia="仿宋" w:cs="仿宋"/>
              </w:rPr>
              <w:t>收</w:t>
            </w:r>
            <w:r>
              <w:rPr>
                <w:rFonts w:hint="eastAsia" w:ascii="仿宋" w:hAnsi="仿宋" w:eastAsia="仿宋" w:cs="仿宋"/>
              </w:rPr>
              <w:tab/>
            </w:r>
            <w:r>
              <w:rPr>
                <w:rFonts w:hint="eastAsia" w:ascii="仿宋" w:hAnsi="仿宋" w:eastAsia="仿宋" w:cs="仿宋"/>
              </w:rPr>
              <w:t>入</w:t>
            </w:r>
          </w:p>
        </w:tc>
        <w:tc>
          <w:tcPr>
            <w:tcW w:w="9810" w:type="dxa"/>
            <w:gridSpan w:val="8"/>
            <w:tcBorders>
              <w:top w:val="single" w:color="000000" w:sz="4" w:space="0"/>
              <w:left w:val="single" w:color="000000" w:sz="4" w:space="0"/>
              <w:bottom w:val="single" w:color="000000" w:sz="4" w:space="0"/>
              <w:right w:val="single" w:color="000000" w:sz="4" w:space="0"/>
            </w:tcBorders>
          </w:tcPr>
          <w:p>
            <w:pPr>
              <w:pStyle w:val="22"/>
              <w:jc w:val="center"/>
              <w:rPr>
                <w:rFonts w:hint="eastAsia" w:ascii="仿宋" w:hAnsi="仿宋" w:eastAsia="仿宋" w:cs="仿宋"/>
              </w:rPr>
            </w:pPr>
            <w:r>
              <w:rPr>
                <w:rFonts w:hint="eastAsia" w:ascii="仿宋" w:hAnsi="仿宋" w:eastAsia="仿宋" w:cs="仿宋"/>
              </w:rPr>
              <w:t>支</w:t>
            </w:r>
            <w:r>
              <w:rPr>
                <w:rFonts w:hint="eastAsia" w:ascii="仿宋" w:hAnsi="仿宋" w:eastAsia="仿宋" w:cs="仿宋"/>
              </w:rPr>
              <w:tab/>
            </w:r>
            <w:r>
              <w:rPr>
                <w:rFonts w:hint="eastAsia" w:ascii="仿宋" w:hAnsi="仿宋" w:eastAsia="仿宋" w:cs="仿宋"/>
              </w:rPr>
              <w:t>出</w:t>
            </w:r>
          </w:p>
        </w:tc>
      </w:tr>
      <w:tr>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837" w:type="dxa"/>
            <w:vMerge w:val="restart"/>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决算数</w:t>
            </w:r>
          </w:p>
        </w:tc>
        <w:tc>
          <w:tcPr>
            <w:tcW w:w="3667" w:type="dxa"/>
            <w:gridSpan w:val="3"/>
            <w:vMerge w:val="restart"/>
            <w:tcBorders>
              <w:left w:val="single" w:color="000000" w:sz="4" w:space="0"/>
              <w:bottom w:val="single" w:color="000000" w:sz="4" w:space="0"/>
            </w:tcBorders>
            <w:vAlign w:val="center"/>
          </w:tcPr>
          <w:p>
            <w:pPr>
              <w:jc w:val="center"/>
              <w:rPr>
                <w:rFonts w:hint="eastAsia" w:ascii="仿宋" w:hAnsi="仿宋" w:eastAsia="仿宋" w:cs="仿宋"/>
              </w:rPr>
            </w:pPr>
            <w:r>
              <w:rPr>
                <w:rFonts w:hint="eastAsia" w:ascii="仿宋" w:hAnsi="仿宋" w:eastAsia="仿宋" w:cs="仿宋"/>
              </w:rPr>
              <w:t>按功能分类</w:t>
            </w:r>
          </w:p>
        </w:tc>
        <w:tc>
          <w:tcPr>
            <w:tcW w:w="6143" w:type="dxa"/>
            <w:gridSpan w:val="5"/>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rPr>
            </w:pPr>
            <w:r>
              <w:rPr>
                <w:rFonts w:hint="eastAsia" w:ascii="仿宋" w:hAnsi="仿宋" w:eastAsia="仿宋" w:cs="仿宋"/>
              </w:rPr>
              <w:t>决算数</w:t>
            </w:r>
          </w:p>
        </w:tc>
      </w:tr>
      <w:tr>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pPr>
              <w:pStyle w:val="22"/>
              <w:rPr>
                <w:rFonts w:hint="eastAsia" w:ascii="仿宋" w:hAnsi="仿宋" w:eastAsia="仿宋" w:cs="仿宋"/>
              </w:rPr>
            </w:pPr>
          </w:p>
        </w:tc>
        <w:tc>
          <w:tcPr>
            <w:tcW w:w="1837" w:type="dxa"/>
            <w:vMerge w:val="continue"/>
            <w:tcBorders>
              <w:left w:val="single" w:color="000000" w:sz="4" w:space="0"/>
              <w:bottom w:val="single" w:color="000000" w:sz="4" w:space="0"/>
            </w:tcBorders>
          </w:tcPr>
          <w:p>
            <w:pPr>
              <w:pStyle w:val="22"/>
              <w:rPr>
                <w:rFonts w:hint="eastAsia" w:ascii="仿宋" w:hAnsi="仿宋" w:eastAsia="仿宋" w:cs="仿宋"/>
              </w:rPr>
            </w:pPr>
          </w:p>
        </w:tc>
        <w:tc>
          <w:tcPr>
            <w:tcW w:w="3667" w:type="dxa"/>
            <w:gridSpan w:val="3"/>
            <w:vMerge w:val="continue"/>
            <w:tcBorders>
              <w:left w:val="single" w:color="000000" w:sz="4" w:space="0"/>
              <w:bottom w:val="single" w:color="000000" w:sz="4" w:space="0"/>
            </w:tcBorders>
          </w:tcPr>
          <w:p>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ascii="仿宋" w:hAnsi="仿宋" w:eastAsia="仿宋" w:cs="仿宋"/>
                <w:u w:color="auto"/>
              </w:rPr>
              <w:t>小计</w:t>
            </w:r>
          </w:p>
        </w:tc>
        <w:tc>
          <w:tcPr>
            <w:tcW w:w="1415" w:type="dxa"/>
            <w:gridSpan w:val="2"/>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一般公共预算财政拨款</w:t>
            </w:r>
          </w:p>
        </w:tc>
        <w:tc>
          <w:tcPr>
            <w:tcW w:w="1500"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政府性基金预算财政拨款</w:t>
            </w:r>
          </w:p>
        </w:tc>
        <w:tc>
          <w:tcPr>
            <w:tcW w:w="1500" w:type="dxa"/>
            <w:tcBorders>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国有资本经营预算财政拨款</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1,507.11</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83.95</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83.95</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23.09</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23.09</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196.59</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196.59</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1,203.48</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1,203.48</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b/>
                <w:bCs/>
              </w:rPr>
              <w:t>本年收入合计</w:t>
            </w:r>
          </w:p>
        </w:tc>
        <w:tc>
          <w:tcPr>
            <w:tcW w:w="1837" w:type="dxa"/>
            <w:tcBorders>
              <w:top w:val="single" w:color="000000" w:sz="4" w:space="0"/>
              <w:left w:val="single" w:color="000000" w:sz="4" w:space="0"/>
              <w:bottom w:val="single" w:color="000000" w:sz="4" w:space="0"/>
            </w:tcBorders>
            <w:vAlign w:val="center"/>
          </w:tcPr>
          <w:p>
            <w:pPr>
              <w:jc w:val="right"/>
              <w:rPr>
                <w:rFonts w:hint="eastAsia" w:ascii="仿宋" w:hAnsi="仿宋" w:eastAsia="仿宋" w:cs="仿宋"/>
                <w:sz w:val="22"/>
                <w:szCs w:val="22"/>
              </w:rPr>
            </w:pPr>
            <w:r>
              <w:rPr>
                <w:rFonts w:hint="eastAsia" w:ascii="仿宋" w:hAnsi="仿宋" w:eastAsia="仿宋" w:cs="仿宋"/>
                <w:sz w:val="22"/>
                <w:szCs w:val="22"/>
              </w:rPr>
              <w:t>1,507.11</w:t>
            </w:r>
          </w:p>
        </w:tc>
        <w:tc>
          <w:tcPr>
            <w:tcW w:w="3667" w:type="dxa"/>
            <w:gridSpan w:val="3"/>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b/>
                <w:bCs/>
              </w:rPr>
              <w:t>本年支出合计</w:t>
            </w:r>
          </w:p>
        </w:tc>
        <w:tc>
          <w:tcPr>
            <w:tcW w:w="1728" w:type="dxa"/>
            <w:tcBorders>
              <w:top w:val="single" w:color="000000" w:sz="4" w:space="0"/>
              <w:left w:val="single" w:color="000000" w:sz="4" w:space="0"/>
              <w:bottom w:val="single" w:color="000000" w:sz="4" w:space="0"/>
            </w:tcBorders>
            <w:vAlign w:val="center"/>
          </w:tcPr>
          <w:p>
            <w:pPr>
              <w:jc w:val="right"/>
              <w:rPr>
                <w:rFonts w:hint="eastAsia" w:ascii="仿宋" w:hAnsi="仿宋" w:eastAsia="仿宋" w:cs="仿宋"/>
                <w:sz w:val="22"/>
                <w:szCs w:val="22"/>
              </w:rPr>
            </w:pPr>
            <w:r>
              <w:rPr>
                <w:rFonts w:hint="eastAsia" w:ascii="仿宋" w:hAnsi="仿宋" w:eastAsia="仿宋" w:cs="仿宋"/>
                <w:sz w:val="22"/>
                <w:szCs w:val="22"/>
              </w:rPr>
              <w:t>1,507.11</w:t>
            </w:r>
          </w:p>
        </w:tc>
        <w:tc>
          <w:tcPr>
            <w:tcW w:w="1415" w:type="dxa"/>
            <w:gridSpan w:val="2"/>
            <w:tcBorders>
              <w:top w:val="single" w:color="000000" w:sz="4" w:space="0"/>
              <w:left w:val="single" w:color="000000" w:sz="4" w:space="0"/>
              <w:bottom w:val="single" w:color="000000" w:sz="4" w:space="0"/>
            </w:tcBorders>
            <w:vAlign w:val="center"/>
          </w:tcPr>
          <w:p>
            <w:pPr>
              <w:jc w:val="right"/>
              <w:rPr>
                <w:rFonts w:hint="eastAsia" w:ascii="仿宋" w:hAnsi="仿宋" w:eastAsia="仿宋" w:cs="仿宋"/>
                <w:sz w:val="22"/>
                <w:szCs w:val="22"/>
              </w:rPr>
            </w:pPr>
            <w:r>
              <w:rPr>
                <w:rFonts w:hint="eastAsia" w:ascii="仿宋" w:hAnsi="仿宋" w:eastAsia="仿宋" w:cs="仿宋"/>
                <w:sz w:val="22"/>
                <w:szCs w:val="22"/>
              </w:rPr>
              <w:t>1,507.11</w:t>
            </w:r>
          </w:p>
        </w:tc>
        <w:tc>
          <w:tcPr>
            <w:tcW w:w="1500" w:type="dxa"/>
            <w:tcBorders>
              <w:top w:val="single" w:color="000000" w:sz="4" w:space="0"/>
              <w:left w:val="single" w:color="000000" w:sz="4" w:space="0"/>
              <w:bottom w:val="single" w:color="000000" w:sz="4" w:space="0"/>
            </w:tcBorders>
            <w:vAlign w:val="center"/>
          </w:tcPr>
          <w:p>
            <w:pPr>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rPr>
                <w:rFonts w:hint="eastAsia" w:ascii="仿宋" w:hAnsi="仿宋" w:eastAsia="仿宋" w:cs="仿宋"/>
              </w:rPr>
            </w:pPr>
            <w:r>
              <w:rPr>
                <w:rFonts w:hint="eastAsia" w:ascii="仿宋" w:hAnsi="仿宋" w:eastAsia="仿宋" w:cs="仿宋"/>
              </w:rPr>
              <w:t>年初财政拨款结转和结余</w:t>
            </w:r>
          </w:p>
        </w:tc>
        <w:tc>
          <w:tcPr>
            <w:tcW w:w="1837"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3667" w:type="dxa"/>
            <w:gridSpan w:val="3"/>
            <w:tcBorders>
              <w:left w:val="single" w:color="000000" w:sz="4" w:space="0"/>
              <w:bottom w:val="single" w:color="000000" w:sz="4" w:space="0"/>
            </w:tcBorders>
            <w:vAlign w:val="center"/>
          </w:tcPr>
          <w:p>
            <w:pPr>
              <w:pStyle w:val="22"/>
              <w:rPr>
                <w:rFonts w:hint="eastAsia" w:ascii="仿宋" w:hAnsi="仿宋" w:eastAsia="仿宋" w:cs="仿宋"/>
              </w:rPr>
            </w:pPr>
            <w:r>
              <w:rPr>
                <w:rFonts w:hint="eastAsia" w:ascii="仿宋" w:hAnsi="仿宋" w:eastAsia="仿宋" w:cs="仿宋"/>
              </w:rPr>
              <w:t>年末财政拨款结转和结余</w:t>
            </w:r>
          </w:p>
        </w:tc>
        <w:tc>
          <w:tcPr>
            <w:tcW w:w="1728"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rPr>
                <w:rFonts w:hint="eastAsia" w:ascii="仿宋" w:hAnsi="仿宋" w:eastAsia="仿宋" w:cs="仿宋"/>
              </w:rPr>
            </w:pPr>
            <w:r>
              <w:rPr>
                <w:rFonts w:hint="eastAsia" w:ascii="仿宋" w:hAnsi="仿宋" w:eastAsia="仿宋" w:cs="仿宋"/>
              </w:rPr>
              <w:t>一、一般公共预算财政拨款</w:t>
            </w:r>
          </w:p>
        </w:tc>
        <w:tc>
          <w:tcPr>
            <w:tcW w:w="1837"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3667" w:type="dxa"/>
            <w:gridSpan w:val="3"/>
            <w:tcBorders>
              <w:left w:val="single" w:color="000000" w:sz="4" w:space="0"/>
              <w:bottom w:val="single" w:color="000000" w:sz="4" w:space="0"/>
            </w:tcBorders>
            <w:vAlign w:val="center"/>
          </w:tcPr>
          <w:p>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rPr>
                <w:rFonts w:hint="eastAsia" w:ascii="仿宋" w:hAnsi="仿宋" w:eastAsia="仿宋" w:cs="仿宋"/>
              </w:rPr>
            </w:pPr>
            <w:r>
              <w:rPr>
                <w:rFonts w:hint="eastAsia" w:ascii="仿宋" w:hAnsi="仿宋" w:eastAsia="仿宋" w:cs="仿宋"/>
              </w:rPr>
              <w:t>二、政府性基金预算财政拨款</w:t>
            </w:r>
          </w:p>
        </w:tc>
        <w:tc>
          <w:tcPr>
            <w:tcW w:w="1837"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3667" w:type="dxa"/>
            <w:gridSpan w:val="3"/>
            <w:tcBorders>
              <w:left w:val="single" w:color="000000" w:sz="4" w:space="0"/>
              <w:bottom w:val="single" w:color="000000" w:sz="4" w:space="0"/>
            </w:tcBorders>
            <w:vAlign w:val="center"/>
          </w:tcPr>
          <w:p>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rPr>
                <w:rFonts w:hint="eastAsia" w:ascii="仿宋" w:hAnsi="仿宋" w:eastAsia="仿宋" w:cs="仿宋"/>
              </w:rPr>
            </w:pPr>
            <w:r>
              <w:rPr>
                <w:rFonts w:hint="eastAsia" w:ascii="仿宋" w:hAnsi="仿宋" w:eastAsia="仿宋" w:cs="仿宋"/>
              </w:rPr>
              <w:t>三、国有资本经营预算财政拨款</w:t>
            </w:r>
          </w:p>
        </w:tc>
        <w:tc>
          <w:tcPr>
            <w:tcW w:w="1837"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3667" w:type="dxa"/>
            <w:gridSpan w:val="3"/>
            <w:tcBorders>
              <w:left w:val="single" w:color="000000" w:sz="4" w:space="0"/>
              <w:bottom w:val="single" w:color="000000" w:sz="4" w:space="0"/>
            </w:tcBorders>
            <w:vAlign w:val="center"/>
          </w:tcPr>
          <w:p>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b/>
                <w:bCs/>
              </w:rPr>
              <w:t>总计</w:t>
            </w:r>
          </w:p>
        </w:tc>
        <w:tc>
          <w:tcPr>
            <w:tcW w:w="1837" w:type="dxa"/>
            <w:tcBorders>
              <w:left w:val="single" w:color="000000" w:sz="4" w:space="0"/>
              <w:bottom w:val="single" w:color="000000" w:sz="4" w:space="0"/>
            </w:tcBorders>
            <w:vAlign w:val="center"/>
          </w:tcPr>
          <w:p>
            <w:pPr>
              <w:jc w:val="right"/>
              <w:rPr>
                <w:rFonts w:hint="eastAsia" w:ascii="仿宋" w:hAnsi="仿宋" w:eastAsia="仿宋" w:cs="仿宋"/>
                <w:sz w:val="22"/>
                <w:szCs w:val="22"/>
              </w:rPr>
            </w:pPr>
            <w:r>
              <w:rPr>
                <w:rFonts w:hint="eastAsia" w:ascii="仿宋" w:hAnsi="仿宋" w:eastAsia="仿宋" w:cs="仿宋"/>
                <w:sz w:val="22"/>
                <w:szCs w:val="22"/>
              </w:rPr>
              <w:t>1,507.11</w:t>
            </w:r>
          </w:p>
        </w:tc>
        <w:tc>
          <w:tcPr>
            <w:tcW w:w="3667" w:type="dxa"/>
            <w:gridSpan w:val="3"/>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b/>
                <w:bCs/>
              </w:rPr>
              <w:t>总计</w:t>
            </w:r>
          </w:p>
        </w:tc>
        <w:tc>
          <w:tcPr>
            <w:tcW w:w="1728" w:type="dxa"/>
            <w:tcBorders>
              <w:left w:val="single" w:color="000000" w:sz="4" w:space="0"/>
              <w:bottom w:val="single" w:color="000000" w:sz="4" w:space="0"/>
            </w:tcBorders>
            <w:vAlign w:val="center"/>
          </w:tcPr>
          <w:p>
            <w:pPr>
              <w:jc w:val="right"/>
              <w:rPr>
                <w:rFonts w:hint="eastAsia" w:ascii="仿宋" w:hAnsi="仿宋" w:eastAsia="仿宋" w:cs="仿宋"/>
                <w:sz w:val="22"/>
                <w:szCs w:val="22"/>
              </w:rPr>
            </w:pPr>
            <w:r>
              <w:rPr>
                <w:rFonts w:hint="eastAsia" w:ascii="仿宋" w:hAnsi="仿宋" w:eastAsia="仿宋" w:cs="仿宋"/>
                <w:sz w:val="22"/>
                <w:szCs w:val="22"/>
              </w:rPr>
              <w:t>1,507.11</w:t>
            </w:r>
          </w:p>
        </w:tc>
        <w:tc>
          <w:tcPr>
            <w:tcW w:w="1415" w:type="dxa"/>
            <w:gridSpan w:val="2"/>
            <w:tcBorders>
              <w:left w:val="single" w:color="000000" w:sz="4" w:space="0"/>
              <w:bottom w:val="single" w:color="000000" w:sz="4" w:space="0"/>
            </w:tcBorders>
            <w:vAlign w:val="center"/>
          </w:tcPr>
          <w:p>
            <w:pPr>
              <w:jc w:val="right"/>
              <w:rPr>
                <w:rFonts w:hint="eastAsia" w:ascii="仿宋" w:hAnsi="仿宋" w:eastAsia="仿宋" w:cs="仿宋"/>
                <w:sz w:val="22"/>
                <w:szCs w:val="22"/>
              </w:rPr>
            </w:pPr>
            <w:r>
              <w:rPr>
                <w:rFonts w:hint="eastAsia" w:ascii="仿宋" w:hAnsi="仿宋" w:eastAsia="仿宋" w:cs="仿宋"/>
                <w:sz w:val="22"/>
                <w:szCs w:val="22"/>
              </w:rPr>
              <w:t>1,507.11</w:t>
            </w:r>
          </w:p>
        </w:tc>
        <w:tc>
          <w:tcPr>
            <w:tcW w:w="1500" w:type="dxa"/>
            <w:tcBorders>
              <w:left w:val="single" w:color="000000" w:sz="4" w:space="0"/>
              <w:bottom w:val="single" w:color="000000" w:sz="4" w:space="0"/>
            </w:tcBorders>
            <w:vAlign w:val="center"/>
          </w:tcPr>
          <w:p>
            <w:pPr>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pPr>
              <w:jc w:val="right"/>
              <w:rPr>
                <w:rFonts w:hint="eastAsia" w:ascii="仿宋" w:hAnsi="仿宋" w:eastAsia="仿宋" w:cs="仿宋"/>
                <w:sz w:val="22"/>
                <w:szCs w:val="22"/>
              </w:rPr>
            </w:pPr>
          </w:p>
        </w:tc>
      </w:tr>
    </w:tbl>
    <w:p>
      <w:pPr>
        <w:jc w:val="both"/>
        <w:rPr>
          <w:rFonts w:hint="eastAsia" w:ascii="仿宋" w:hAnsi="仿宋" w:eastAsia="仿宋" w:cs="仿宋"/>
        </w:rPr>
      </w:pPr>
      <w:r>
        <w:rPr>
          <w:rFonts w:hint="eastAsia" w:ascii="仿宋" w:hAnsi="仿宋" w:eastAsia="仿宋" w:cs="仿宋"/>
          <w:lang w:val="en-US"/>
        </w:rPr>
        <w:t>注：</w:t>
      </w:r>
      <w:r>
        <w:rPr>
          <w:rFonts w:hint="eastAsia" w:ascii="仿宋" w:hAnsi="仿宋" w:eastAsia="仿宋" w:cs="仿宋"/>
        </w:rPr>
        <w:t>本表反映本年度一般公共预算财政拨款、政府性基金预算财政拨款和国有资本经营预算财政拨款的总收支和年末结转结余情况。本表金额单位转换时可能存在尾数误差。</w:t>
      </w:r>
    </w:p>
    <w:p>
      <w:pPr>
        <w:jc w:val="both"/>
        <w:rPr>
          <w:rFonts w:hint="eastAsia" w:ascii="仿宋" w:hAnsi="仿宋" w:eastAsia="仿宋" w:cs="仿宋"/>
        </w:rPr>
        <w:sectPr>
          <w:footerReference r:id="rId10"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tblPrEx>
          <w:tblCellMar>
            <w:top w:w="55" w:type="dxa"/>
            <w:left w:w="55" w:type="dxa"/>
            <w:bottom w:w="55" w:type="dxa"/>
            <w:right w:w="55" w:type="dxa"/>
          </w:tblCellMar>
        </w:tblPrEx>
        <w:trPr>
          <w:trHeight w:val="321" w:hRule="atLeast"/>
        </w:trPr>
        <w:tc>
          <w:tcPr>
            <w:tcW w:w="15417" w:type="dxa"/>
            <w:gridSpan w:val="5"/>
            <w:vAlign w:val="center"/>
          </w:tcPr>
          <w:p>
            <w:pPr>
              <w:pStyle w:val="22"/>
              <w:jc w:val="center"/>
              <w:rPr>
                <w:rFonts w:hint="eastAsia" w:ascii="仿宋" w:hAnsi="仿宋" w:eastAsia="仿宋" w:cs="仿宋"/>
                <w:b/>
                <w:bCs/>
                <w:sz w:val="44"/>
                <w:szCs w:val="44"/>
              </w:rPr>
            </w:pPr>
            <w:r>
              <w:rPr>
                <w:rFonts w:hint="eastAsia"/>
                <w:b/>
                <w:bCs/>
                <w:color w:val="000000"/>
                <w:sz w:val="36"/>
                <w:szCs w:val="36"/>
                <w:lang w:eastAsia="ar-SA"/>
              </w:rPr>
              <w:t>财政拨款支出决算表（功能科目）</w:t>
            </w:r>
          </w:p>
        </w:tc>
      </w:tr>
      <w:tr>
        <w:tblPrEx>
          <w:tblCellMar>
            <w:top w:w="55" w:type="dxa"/>
            <w:left w:w="55" w:type="dxa"/>
            <w:bottom w:w="55" w:type="dxa"/>
            <w:right w:w="55" w:type="dxa"/>
          </w:tblCellMar>
        </w:tblPrEx>
        <w:trPr>
          <w:trHeight w:val="321" w:hRule="atLeast"/>
        </w:trPr>
        <w:tc>
          <w:tcPr>
            <w:tcW w:w="6300" w:type="dxa"/>
            <w:gridSpan w:val="2"/>
          </w:tcPr>
          <w:p>
            <w:pPr>
              <w:pStyle w:val="22"/>
              <w:rPr>
                <w:rFonts w:hint="eastAsia" w:ascii="仿宋" w:hAnsi="仿宋" w:eastAsia="仿宋" w:cs="仿宋"/>
                <w:sz w:val="20"/>
              </w:rPr>
            </w:pPr>
          </w:p>
        </w:tc>
        <w:tc>
          <w:tcPr>
            <w:tcW w:w="3184" w:type="dxa"/>
          </w:tcPr>
          <w:p>
            <w:pPr>
              <w:pStyle w:val="22"/>
              <w:rPr>
                <w:rFonts w:hint="eastAsia" w:ascii="仿宋" w:hAnsi="仿宋" w:eastAsia="仿宋" w:cs="仿宋"/>
                <w:sz w:val="27"/>
              </w:rPr>
            </w:pPr>
          </w:p>
        </w:tc>
        <w:tc>
          <w:tcPr>
            <w:tcW w:w="5933" w:type="dxa"/>
            <w:gridSpan w:val="2"/>
            <w:vAlign w:val="center"/>
          </w:tcPr>
          <w:p>
            <w:pPr>
              <w:pStyle w:val="22"/>
              <w:jc w:val="right"/>
              <w:rPr>
                <w:rFonts w:hint="eastAsia" w:ascii="仿宋" w:hAnsi="仿宋" w:eastAsia="仿宋" w:cs="仿宋"/>
                <w:sz w:val="27"/>
              </w:rPr>
            </w:pPr>
            <w:r>
              <w:rPr>
                <w:rFonts w:hint="eastAsia" w:ascii="仿宋" w:hAnsi="仿宋" w:eastAsia="仿宋" w:cs="仿宋"/>
              </w:rPr>
              <w:t>公开05表</w:t>
            </w:r>
          </w:p>
        </w:tc>
      </w:tr>
      <w:tr>
        <w:tblPrEx>
          <w:tblCellMar>
            <w:top w:w="55" w:type="dxa"/>
            <w:left w:w="55" w:type="dxa"/>
            <w:bottom w:w="55" w:type="dxa"/>
            <w:right w:w="55" w:type="dxa"/>
          </w:tblCellMar>
        </w:tblPrEx>
        <w:trPr>
          <w:trHeight w:val="288" w:hRule="atLeast"/>
        </w:trPr>
        <w:tc>
          <w:tcPr>
            <w:tcW w:w="6300" w:type="dxa"/>
            <w:gridSpan w:val="2"/>
          </w:tcPr>
          <w:p>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高新区（新吴区）应急管理局（本级）</w:t>
            </w:r>
          </w:p>
        </w:tc>
        <w:tc>
          <w:tcPr>
            <w:tcW w:w="3184" w:type="dxa"/>
          </w:tcPr>
          <w:p>
            <w:pPr>
              <w:pStyle w:val="22"/>
              <w:rPr>
                <w:rFonts w:hint="eastAsia" w:ascii="仿宋" w:hAnsi="仿宋" w:eastAsia="仿宋" w:cs="仿宋"/>
                <w:sz w:val="27"/>
              </w:rPr>
            </w:pPr>
          </w:p>
        </w:tc>
        <w:tc>
          <w:tcPr>
            <w:tcW w:w="2778" w:type="dxa"/>
            <w:vAlign w:val="center"/>
          </w:tcPr>
          <w:p>
            <w:pPr>
              <w:pStyle w:val="22"/>
              <w:jc w:val="right"/>
              <w:rPr>
                <w:rFonts w:hint="eastAsia" w:ascii="仿宋" w:hAnsi="仿宋" w:eastAsia="仿宋" w:cs="仿宋"/>
                <w:sz w:val="27"/>
              </w:rPr>
            </w:pPr>
          </w:p>
        </w:tc>
        <w:tc>
          <w:tcPr>
            <w:tcW w:w="3155" w:type="dxa"/>
            <w:vAlign w:val="center"/>
          </w:tcPr>
          <w:p>
            <w:pPr>
              <w:pStyle w:val="22"/>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184" w:type="dxa"/>
            <w:vMerge w:val="restart"/>
            <w:tcBorders>
              <w:top w:val="single" w:color="000000" w:sz="6" w:space="0"/>
              <w:left w:val="single" w:color="000000" w:sz="6" w:space="0"/>
              <w:bottom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本年支出合计</w:t>
            </w:r>
          </w:p>
        </w:tc>
        <w:tc>
          <w:tcPr>
            <w:tcW w:w="2778" w:type="dxa"/>
            <w:vMerge w:val="restart"/>
            <w:tcBorders>
              <w:top w:val="single" w:color="000000" w:sz="6" w:space="0"/>
              <w:left w:val="single" w:color="000000" w:sz="6" w:space="0"/>
              <w:bottom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功能分类</w:t>
            </w:r>
          </w:p>
          <w:p>
            <w:pPr>
              <w:pStyle w:val="22"/>
              <w:jc w:val="center"/>
              <w:rPr>
                <w:rFonts w:hint="eastAsia" w:ascii="仿宋" w:hAnsi="仿宋" w:eastAsia="仿宋" w:cs="仿宋"/>
              </w:rPr>
            </w:pPr>
            <w:r>
              <w:rPr>
                <w:rFonts w:hint="eastAsia" w:ascii="仿宋" w:hAnsi="仿宋" w:eastAsia="仿宋" w:cs="仿宋"/>
              </w:rPr>
              <w:t>科目编码</w:t>
            </w:r>
          </w:p>
        </w:tc>
        <w:tc>
          <w:tcPr>
            <w:tcW w:w="5022" w:type="dxa"/>
            <w:tcBorders>
              <w:left w:val="single" w:color="000000" w:sz="6" w:space="0"/>
              <w:bottom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科目名称</w:t>
            </w:r>
          </w:p>
        </w:tc>
        <w:tc>
          <w:tcPr>
            <w:tcW w:w="3184" w:type="dxa"/>
            <w:vMerge w:val="continue"/>
            <w:tcBorders>
              <w:left w:val="single" w:color="000000" w:sz="6" w:space="0"/>
              <w:bottom w:val="single" w:color="000000" w:sz="6" w:space="0"/>
            </w:tcBorders>
          </w:tcPr>
          <w:p>
            <w:pPr>
              <w:rPr>
                <w:rFonts w:hint="eastAsia" w:ascii="仿宋" w:hAnsi="仿宋" w:eastAsia="仿宋" w:cs="仿宋"/>
              </w:rPr>
            </w:pPr>
          </w:p>
        </w:tc>
        <w:tc>
          <w:tcPr>
            <w:tcW w:w="2778" w:type="dxa"/>
            <w:vMerge w:val="continue"/>
            <w:tcBorders>
              <w:left w:val="single" w:color="000000" w:sz="6" w:space="0"/>
              <w:bottom w:val="single" w:color="000000" w:sz="6" w:space="0"/>
            </w:tcBorders>
          </w:tcPr>
          <w:p>
            <w:pPr>
              <w:rPr>
                <w:rFonts w:hint="eastAsia" w:ascii="仿宋" w:hAnsi="仿宋" w:eastAsia="仿宋" w:cs="仿宋"/>
              </w:rPr>
            </w:pPr>
          </w:p>
        </w:tc>
        <w:tc>
          <w:tcPr>
            <w:tcW w:w="3155" w:type="dxa"/>
            <w:vMerge w:val="continue"/>
            <w:tcBorders>
              <w:left w:val="single" w:color="000000" w:sz="6" w:space="0"/>
              <w:bottom w:val="single" w:color="000000" w:sz="6" w:space="0"/>
              <w:right w:val="single" w:color="000000" w:sz="6" w:space="0"/>
            </w:tcBorders>
          </w:tcPr>
          <w:p>
            <w:pPr>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栏次</w:t>
            </w:r>
          </w:p>
        </w:tc>
        <w:tc>
          <w:tcPr>
            <w:tcW w:w="3184" w:type="dxa"/>
            <w:tcBorders>
              <w:left w:val="single" w:color="000000" w:sz="6" w:space="0"/>
              <w:bottom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1</w:t>
            </w:r>
          </w:p>
        </w:tc>
        <w:tc>
          <w:tcPr>
            <w:tcW w:w="2778" w:type="dxa"/>
            <w:tcBorders>
              <w:left w:val="single" w:color="000000" w:sz="6" w:space="0"/>
              <w:bottom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2</w:t>
            </w:r>
          </w:p>
        </w:tc>
        <w:tc>
          <w:tcPr>
            <w:tcW w:w="3155" w:type="dxa"/>
            <w:tcBorders>
              <w:left w:val="single" w:color="000000" w:sz="6" w:space="0"/>
              <w:bottom w:val="single" w:color="000000" w:sz="6" w:space="0"/>
              <w:right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3</w:t>
            </w:r>
          </w:p>
        </w:tc>
      </w:tr>
      <w:tr>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合计</w:t>
            </w:r>
          </w:p>
        </w:tc>
        <w:tc>
          <w:tcPr>
            <w:tcW w:w="3184" w:type="dxa"/>
            <w:tcBorders>
              <w:left w:val="single" w:color="000000" w:sz="6" w:space="0"/>
              <w:bottom w:val="single" w:color="000000" w:sz="6" w:space="0"/>
            </w:tcBorders>
          </w:tcPr>
          <w:p>
            <w:pPr>
              <w:pStyle w:val="22"/>
              <w:jc w:val="right"/>
              <w:rPr>
                <w:rFonts w:hint="eastAsia" w:ascii="仿宋" w:hAnsi="仿宋" w:eastAsia="仿宋" w:cs="仿宋"/>
              </w:rPr>
            </w:pPr>
            <w:r>
              <w:rPr>
                <w:rFonts w:hint="eastAsia" w:ascii="仿宋" w:hAnsi="仿宋" w:eastAsia="仿宋" w:cs="仿宋"/>
              </w:rPr>
              <w:t>1,507.11</w:t>
            </w:r>
          </w:p>
        </w:tc>
        <w:tc>
          <w:tcPr>
            <w:tcW w:w="2778" w:type="dxa"/>
            <w:tcBorders>
              <w:left w:val="single" w:color="000000" w:sz="6" w:space="0"/>
              <w:bottom w:val="single" w:color="000000" w:sz="6" w:space="0"/>
            </w:tcBorders>
          </w:tcPr>
          <w:p>
            <w:pPr>
              <w:pStyle w:val="22"/>
              <w:jc w:val="right"/>
              <w:rPr>
                <w:rFonts w:hint="eastAsia" w:ascii="仿宋" w:hAnsi="仿宋" w:eastAsia="仿宋" w:cs="仿宋"/>
              </w:rPr>
            </w:pPr>
            <w:r>
              <w:rPr>
                <w:rFonts w:hint="eastAsia" w:ascii="仿宋" w:hAnsi="仿宋" w:eastAsia="仿宋" w:cs="仿宋"/>
              </w:rPr>
              <w:t>1,017.17</w:t>
            </w:r>
          </w:p>
        </w:tc>
        <w:tc>
          <w:tcPr>
            <w:tcW w:w="3155" w:type="dxa"/>
            <w:tcBorders>
              <w:left w:val="single" w:color="000000" w:sz="6" w:space="0"/>
              <w:bottom w:val="single" w:color="000000" w:sz="6" w:space="0"/>
              <w:right w:val="single" w:color="000000" w:sz="6" w:space="0"/>
            </w:tcBorders>
          </w:tcPr>
          <w:p>
            <w:pPr>
              <w:pStyle w:val="22"/>
              <w:jc w:val="right"/>
              <w:rPr>
                <w:rFonts w:hint="eastAsia" w:ascii="仿宋" w:hAnsi="仿宋" w:eastAsia="仿宋" w:cs="仿宋"/>
              </w:rPr>
            </w:pPr>
            <w:r>
              <w:rPr>
                <w:rFonts w:hint="eastAsia" w:ascii="仿宋" w:hAnsi="仿宋" w:eastAsia="仿宋" w:cs="仿宋"/>
              </w:rPr>
              <w:t>489.94</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83.95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83.95</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83.95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83.95</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2080505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55.97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55.97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2080506</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27.98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27.98</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23.09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23.09</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23.09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23.09</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2101101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行政单位医疗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23.09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23.09</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196.59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196.59</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196.59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196.59</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55.08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55.08</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88.42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88.42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53.09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53.09</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灾害防治及应急管理支出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1,203.48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713.54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489.94</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22401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应急管理事务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1,203.48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713.54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489.94</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2240101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行政运行</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713.54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713.54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2240109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应急管理</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489.94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489.94</w:t>
            </w:r>
          </w:p>
        </w:tc>
      </w:tr>
    </w:tbl>
    <w:p>
      <w:pPr>
        <w:tabs>
          <w:tab w:val="left" w:pos="0"/>
        </w:tabs>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注：本表反映本年度一般公共预算财政拨款、政府性基金预算财政拨款和国有资本经营预算财政拨款支出情况。本表金额单位转换时可能存在尾数误差。</w:t>
      </w:r>
    </w:p>
    <w:p>
      <w:pPr>
        <w:tabs>
          <w:tab w:val="left" w:pos="55"/>
        </w:tabs>
        <w:jc w:val="both"/>
        <w:rPr>
          <w:rFonts w:hint="eastAsia" w:ascii="仿宋" w:hAnsi="仿宋" w:eastAsia="仿宋" w:cs="仿宋"/>
        </w:rPr>
        <w:sectPr>
          <w:footerReference r:id="rId11"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tblPrEx>
          <w:tblCellMar>
            <w:top w:w="55" w:type="dxa"/>
            <w:left w:w="55" w:type="dxa"/>
            <w:bottom w:w="55" w:type="dxa"/>
            <w:right w:w="55" w:type="dxa"/>
          </w:tblCellMar>
        </w:tblPrEx>
        <w:trPr>
          <w:trHeight w:val="319" w:hRule="atLeast"/>
        </w:trPr>
        <w:tc>
          <w:tcPr>
            <w:tcW w:w="10515" w:type="dxa"/>
            <w:gridSpan w:val="5"/>
            <w:vAlign w:val="center"/>
          </w:tcPr>
          <w:p>
            <w:pPr>
              <w:pStyle w:val="22"/>
              <w:jc w:val="center"/>
              <w:rPr>
                <w:rFonts w:hint="eastAsia" w:ascii="仿宋" w:hAnsi="仿宋" w:eastAsia="仿宋" w:cs="仿宋"/>
                <w:b/>
                <w:bCs/>
                <w:sz w:val="44"/>
                <w:szCs w:val="44"/>
              </w:rPr>
            </w:pPr>
            <w:r>
              <w:rPr>
                <w:rFonts w:hint="eastAsia"/>
                <w:b/>
                <w:bCs/>
                <w:color w:val="000000"/>
                <w:sz w:val="36"/>
                <w:szCs w:val="36"/>
                <w:lang w:eastAsia="ar-SA"/>
              </w:rPr>
              <w:t>财政拨款基本支出决算表（经济科目）</w:t>
            </w:r>
          </w:p>
        </w:tc>
      </w:tr>
      <w:tr>
        <w:tblPrEx>
          <w:tblCellMar>
            <w:top w:w="55" w:type="dxa"/>
            <w:left w:w="55" w:type="dxa"/>
            <w:bottom w:w="55" w:type="dxa"/>
            <w:right w:w="55" w:type="dxa"/>
          </w:tblCellMar>
        </w:tblPrEx>
        <w:trPr>
          <w:trHeight w:val="319" w:hRule="atLeast"/>
        </w:trPr>
        <w:tc>
          <w:tcPr>
            <w:tcW w:w="4532" w:type="dxa"/>
            <w:gridSpan w:val="2"/>
          </w:tcPr>
          <w:p>
            <w:pPr>
              <w:pStyle w:val="22"/>
              <w:rPr>
                <w:rFonts w:hint="eastAsia" w:ascii="仿宋" w:hAnsi="仿宋" w:eastAsia="仿宋" w:cs="仿宋"/>
                <w:sz w:val="20"/>
              </w:rPr>
            </w:pPr>
          </w:p>
        </w:tc>
        <w:tc>
          <w:tcPr>
            <w:tcW w:w="2047" w:type="dxa"/>
          </w:tcPr>
          <w:p>
            <w:pPr>
              <w:pStyle w:val="22"/>
              <w:rPr>
                <w:rFonts w:hint="eastAsia" w:ascii="仿宋" w:hAnsi="仿宋" w:eastAsia="仿宋" w:cs="仿宋"/>
                <w:sz w:val="20"/>
              </w:rPr>
            </w:pPr>
          </w:p>
        </w:tc>
        <w:tc>
          <w:tcPr>
            <w:tcW w:w="2040" w:type="dxa"/>
          </w:tcPr>
          <w:p>
            <w:pPr>
              <w:pStyle w:val="22"/>
              <w:rPr>
                <w:rFonts w:hint="eastAsia" w:ascii="仿宋" w:hAnsi="仿宋" w:eastAsia="仿宋" w:cs="仿宋"/>
                <w:sz w:val="20"/>
              </w:rPr>
            </w:pPr>
          </w:p>
        </w:tc>
        <w:tc>
          <w:tcPr>
            <w:tcW w:w="1896" w:type="dxa"/>
            <w:vAlign w:val="center"/>
          </w:tcPr>
          <w:p>
            <w:pPr>
              <w:pStyle w:val="22"/>
              <w:jc w:val="right"/>
              <w:rPr>
                <w:rFonts w:hint="eastAsia" w:ascii="仿宋" w:hAnsi="仿宋" w:eastAsia="仿宋" w:cs="仿宋"/>
                <w:sz w:val="20"/>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8619" w:type="dxa"/>
            <w:gridSpan w:val="4"/>
          </w:tcPr>
          <w:p>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高新区（新吴区）应急管理局（本级）</w:t>
            </w:r>
          </w:p>
        </w:tc>
        <w:tc>
          <w:tcPr>
            <w:tcW w:w="1896" w:type="dxa"/>
            <w:vAlign w:val="center"/>
          </w:tcPr>
          <w:p>
            <w:pPr>
              <w:pStyle w:val="22"/>
              <w:jc w:val="right"/>
              <w:rPr>
                <w:rFonts w:hint="eastAsia" w:ascii="仿宋" w:hAnsi="仿宋" w:eastAsia="仿宋" w:cs="仿宋"/>
                <w:sz w:val="20"/>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sz w:val="20"/>
              </w:rPr>
            </w:pPr>
            <w:r>
              <w:rPr>
                <w:rFonts w:hint="eastAsia" w:ascii="仿宋" w:hAnsi="仿宋" w:eastAsia="仿宋" w:cs="仿宋"/>
              </w:rPr>
              <w:t>财政拨款基本支出</w:t>
            </w:r>
          </w:p>
        </w:tc>
      </w:tr>
      <w:tr>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ascii="仿宋" w:hAnsi="仿宋" w:eastAsia="仿宋" w:cs="仿宋"/>
                <w:u w:color="auto"/>
              </w:rPr>
              <w:t>合计</w:t>
            </w:r>
          </w:p>
        </w:tc>
        <w:tc>
          <w:tcPr>
            <w:tcW w:w="2047"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r>
              <w:rPr>
                <w:rFonts w:hint="eastAsia" w:ascii="仿宋" w:hAnsi="仿宋" w:eastAsia="仿宋" w:cs="仿宋"/>
                <w:sz w:val="22"/>
                <w:szCs w:val="22"/>
              </w:rPr>
              <w:t>1,017.17</w:t>
            </w:r>
          </w:p>
        </w:tc>
        <w:tc>
          <w:tcPr>
            <w:tcW w:w="2040"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r>
              <w:rPr>
                <w:rFonts w:hint="eastAsia" w:ascii="仿宋" w:hAnsi="仿宋" w:eastAsia="仿宋" w:cs="仿宋"/>
                <w:sz w:val="22"/>
                <w:szCs w:val="22"/>
              </w:rPr>
              <w:t>969.04</w:t>
            </w:r>
          </w:p>
        </w:tc>
        <w:tc>
          <w:tcPr>
            <w:tcW w:w="1896"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2"/>
                <w:szCs w:val="22"/>
              </w:rPr>
            </w:pPr>
            <w:r>
              <w:rPr>
                <w:rFonts w:hint="eastAsia" w:ascii="仿宋" w:hAnsi="仿宋" w:eastAsia="仿宋" w:cs="仿宋"/>
                <w:sz w:val="22"/>
                <w:szCs w:val="22"/>
              </w:rPr>
              <w:t>48.14</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916.72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916.72</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77.87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77.87</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307.67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307.67</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198.55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198.55</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55.97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55.97</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27.98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27.98</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23.09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23.09</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3.30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3.30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55.08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55.08</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167.21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167.21</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47.59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47.59</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14.11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14.11</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0.40</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0.51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0.51</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2.43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2.43</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0.64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0.64</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1.21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1.21</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2.67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2.67</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10.50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10.50</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0.83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0.83</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13.40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13.40</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0.90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0.90</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52.32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52.32</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28.09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28.09</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0.03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0.03</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24.19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24.19</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0.55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0.55</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0.55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0.55</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其他资本性补助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bl>
    <w:p>
      <w:pPr>
        <w:tabs>
          <w:tab w:val="left" w:pos="660"/>
          <w:tab w:val="left" w:pos="10780"/>
        </w:tabs>
        <w:spacing w:before="25" w:line="290" w:lineRule="auto"/>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注：本表反映本年度一般公共预算财政拨款、政府性基金预算财政拨款和国有资本经营预算财政拨款基本支出情况。本表金额单位转换时可能存在尾数误差。</w:t>
      </w:r>
    </w:p>
    <w:p>
      <w:pPr>
        <w:spacing w:line="255" w:lineRule="exact"/>
        <w:jc w:val="both"/>
        <w:rPr>
          <w:rFonts w:hint="eastAsia" w:ascii="仿宋" w:hAnsi="仿宋" w:eastAsia="仿宋" w:cs="仿宋"/>
        </w:rPr>
        <w:sectPr>
          <w:footerReference r:id="rId12" w:type="default"/>
          <w:pgSz w:w="11906" w:h="16838"/>
          <w:pgMar w:top="720" w:right="720" w:bottom="720" w:left="720" w:header="170" w:footer="280" w:gutter="0"/>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tblPrEx>
          <w:tblCellMar>
            <w:top w:w="55" w:type="dxa"/>
            <w:left w:w="55" w:type="dxa"/>
            <w:bottom w:w="55" w:type="dxa"/>
            <w:right w:w="55" w:type="dxa"/>
          </w:tblCellMar>
        </w:tblPrEx>
        <w:trPr>
          <w:trHeight w:val="560" w:hRule="atLeast"/>
        </w:trPr>
        <w:tc>
          <w:tcPr>
            <w:tcW w:w="10446" w:type="dxa"/>
            <w:gridSpan w:val="5"/>
            <w:vAlign w:val="center"/>
          </w:tcPr>
          <w:p>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一般公共预算支出决算表（功能科目）</w:t>
            </w:r>
          </w:p>
        </w:tc>
      </w:tr>
      <w:tr>
        <w:tblPrEx>
          <w:tblCellMar>
            <w:top w:w="55" w:type="dxa"/>
            <w:left w:w="55" w:type="dxa"/>
            <w:bottom w:w="55" w:type="dxa"/>
            <w:right w:w="55" w:type="dxa"/>
          </w:tblCellMar>
        </w:tblPrEx>
        <w:trPr>
          <w:trHeight w:val="147" w:hRule="atLeast"/>
        </w:trPr>
        <w:tc>
          <w:tcPr>
            <w:tcW w:w="5466" w:type="dxa"/>
            <w:gridSpan w:val="2"/>
          </w:tcPr>
          <w:p>
            <w:pPr>
              <w:pStyle w:val="22"/>
              <w:rPr>
                <w:rFonts w:hint="eastAsia" w:ascii="仿宋" w:hAnsi="仿宋" w:eastAsia="仿宋" w:cs="仿宋"/>
                <w:sz w:val="20"/>
              </w:rPr>
            </w:pPr>
          </w:p>
        </w:tc>
        <w:tc>
          <w:tcPr>
            <w:tcW w:w="1969" w:type="dxa"/>
          </w:tcPr>
          <w:p>
            <w:pPr>
              <w:pStyle w:val="22"/>
              <w:rPr>
                <w:rFonts w:hint="eastAsia" w:ascii="仿宋" w:hAnsi="仿宋" w:eastAsia="仿宋" w:cs="仿宋"/>
                <w:sz w:val="20"/>
              </w:rPr>
            </w:pPr>
          </w:p>
        </w:tc>
        <w:tc>
          <w:tcPr>
            <w:tcW w:w="1499" w:type="dxa"/>
          </w:tcPr>
          <w:p>
            <w:pPr>
              <w:pStyle w:val="22"/>
              <w:rPr>
                <w:rFonts w:hint="eastAsia" w:ascii="仿宋" w:hAnsi="仿宋" w:eastAsia="仿宋" w:cs="仿宋"/>
                <w:sz w:val="20"/>
              </w:rPr>
            </w:pPr>
          </w:p>
        </w:tc>
        <w:tc>
          <w:tcPr>
            <w:tcW w:w="1512" w:type="dxa"/>
            <w:vAlign w:val="center"/>
          </w:tcPr>
          <w:p>
            <w:pPr>
              <w:pStyle w:val="22"/>
              <w:jc w:val="right"/>
              <w:rPr>
                <w:rFonts w:hint="eastAsia" w:ascii="仿宋" w:hAnsi="仿宋" w:eastAsia="仿宋" w:cs="仿宋"/>
                <w:sz w:val="20"/>
              </w:rPr>
            </w:pPr>
            <w:r>
              <w:rPr>
                <w:rFonts w:hint="eastAsia" w:ascii="仿宋" w:hAnsi="仿宋" w:eastAsia="仿宋" w:cs="仿宋"/>
              </w:rPr>
              <w:t>公开07表</w:t>
            </w:r>
          </w:p>
        </w:tc>
      </w:tr>
      <w:tr>
        <w:tblPrEx>
          <w:tblCellMar>
            <w:top w:w="55" w:type="dxa"/>
            <w:left w:w="55" w:type="dxa"/>
            <w:bottom w:w="55" w:type="dxa"/>
            <w:right w:w="55" w:type="dxa"/>
          </w:tblCellMar>
        </w:tblPrEx>
        <w:trPr>
          <w:trHeight w:val="303" w:hRule="atLeast"/>
        </w:trPr>
        <w:tc>
          <w:tcPr>
            <w:tcW w:w="7435" w:type="dxa"/>
            <w:gridSpan w:val="3"/>
          </w:tcPr>
          <w:p>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高新区（新吴区）应急管理局（本级）</w:t>
            </w:r>
          </w:p>
        </w:tc>
        <w:tc>
          <w:tcPr>
            <w:tcW w:w="3011" w:type="dxa"/>
            <w:gridSpan w:val="2"/>
          </w:tcPr>
          <w:p>
            <w:pPr>
              <w:pStyle w:val="22"/>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pPr>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pPr>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pPr>
              <w:rPr>
                <w:rFonts w:hint="eastAsia" w:ascii="仿宋" w:hAnsi="仿宋" w:eastAsia="仿宋" w:cs="仿宋"/>
                <w:sz w:val="2"/>
                <w:szCs w:val="2"/>
              </w:rPr>
            </w:pPr>
          </w:p>
        </w:tc>
      </w:tr>
      <w:tr>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pPr>
              <w:pStyle w:val="22"/>
              <w:jc w:val="center"/>
              <w:rPr>
                <w:rFonts w:hint="eastAsia" w:ascii="仿宋" w:hAnsi="仿宋" w:eastAsia="仿宋" w:cs="仿宋"/>
                <w:sz w:val="22"/>
                <w:szCs w:val="22"/>
              </w:rPr>
            </w:pPr>
            <w:r>
              <w:rPr>
                <w:rFonts w:hint="eastAsia" w:ascii="仿宋" w:hAnsi="仿宋" w:eastAsia="仿宋" w:cs="仿宋"/>
                <w:sz w:val="22"/>
                <w:szCs w:val="22"/>
              </w:rPr>
              <w:t>1</w:t>
            </w:r>
          </w:p>
        </w:tc>
        <w:tc>
          <w:tcPr>
            <w:tcW w:w="1499" w:type="dxa"/>
            <w:tcBorders>
              <w:left w:val="single" w:color="000000" w:sz="6" w:space="0"/>
              <w:bottom w:val="single" w:color="000000" w:sz="6" w:space="0"/>
            </w:tcBorders>
            <w:vAlign w:val="center"/>
          </w:tcPr>
          <w:p>
            <w:pPr>
              <w:pStyle w:val="22"/>
              <w:jc w:val="center"/>
              <w:rPr>
                <w:rFonts w:hint="eastAsia" w:ascii="仿宋" w:hAnsi="仿宋" w:eastAsia="仿宋" w:cs="仿宋"/>
                <w:sz w:val="22"/>
                <w:szCs w:val="22"/>
              </w:rPr>
            </w:pPr>
            <w:r>
              <w:rPr>
                <w:rFonts w:hint="eastAsia" w:ascii="仿宋" w:hAnsi="仿宋" w:eastAsia="仿宋" w:cs="仿宋"/>
                <w:sz w:val="22"/>
                <w:szCs w:val="22"/>
              </w:rPr>
              <w:t>2</w:t>
            </w:r>
          </w:p>
        </w:tc>
        <w:tc>
          <w:tcPr>
            <w:tcW w:w="1512" w:type="dxa"/>
            <w:tcBorders>
              <w:left w:val="single" w:color="000000" w:sz="6" w:space="0"/>
              <w:bottom w:val="single" w:color="000000" w:sz="6" w:space="0"/>
              <w:right w:val="single" w:color="000000" w:sz="6" w:space="0"/>
            </w:tcBorders>
            <w:vAlign w:val="center"/>
          </w:tcPr>
          <w:p>
            <w:pPr>
              <w:pStyle w:val="22"/>
              <w:jc w:val="center"/>
              <w:rPr>
                <w:rFonts w:hint="eastAsia" w:ascii="仿宋" w:hAnsi="仿宋" w:eastAsia="仿宋" w:cs="仿宋"/>
                <w:sz w:val="22"/>
                <w:szCs w:val="22"/>
              </w:rPr>
            </w:pPr>
            <w:r>
              <w:rPr>
                <w:rFonts w:hint="eastAsia" w:ascii="仿宋" w:hAnsi="仿宋" w:eastAsia="仿宋" w:cs="仿宋"/>
                <w:sz w:val="22"/>
                <w:szCs w:val="22"/>
              </w:rPr>
              <w:t>3</w:t>
            </w:r>
          </w:p>
        </w:tc>
      </w:tr>
      <w:tr>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pPr>
              <w:pStyle w:val="22"/>
              <w:jc w:val="center"/>
              <w:rPr>
                <w:rFonts w:hint="eastAsia" w:ascii="仿宋" w:hAnsi="仿宋" w:eastAsia="仿宋" w:cs="仿宋"/>
                <w:sz w:val="20"/>
              </w:rPr>
            </w:pP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pPr>
              <w:pStyle w:val="22"/>
              <w:jc w:val="right"/>
              <w:rPr>
                <w:rFonts w:hint="eastAsia" w:ascii="仿宋" w:hAnsi="仿宋" w:eastAsia="仿宋" w:cs="仿宋"/>
                <w:sz w:val="22"/>
                <w:szCs w:val="22"/>
              </w:rPr>
            </w:pPr>
            <w:r>
              <w:rPr>
                <w:rFonts w:hint="eastAsia" w:ascii="仿宋" w:hAnsi="仿宋" w:eastAsia="仿宋" w:cs="仿宋"/>
                <w:sz w:val="22"/>
                <w:szCs w:val="22"/>
              </w:rPr>
              <w:t>1,507.11</w:t>
            </w:r>
          </w:p>
        </w:tc>
        <w:tc>
          <w:tcPr>
            <w:tcW w:w="1499" w:type="dxa"/>
            <w:tcBorders>
              <w:left w:val="single" w:color="000000" w:sz="6" w:space="0"/>
              <w:bottom w:val="single" w:color="000000" w:sz="6" w:space="0"/>
            </w:tcBorders>
            <w:vAlign w:val="center"/>
          </w:tcPr>
          <w:p>
            <w:pPr>
              <w:pStyle w:val="22"/>
              <w:jc w:val="right"/>
              <w:rPr>
                <w:rFonts w:hint="eastAsia" w:ascii="仿宋" w:hAnsi="仿宋" w:eastAsia="仿宋" w:cs="仿宋"/>
                <w:sz w:val="22"/>
                <w:szCs w:val="22"/>
              </w:rPr>
            </w:pPr>
            <w:r>
              <w:rPr>
                <w:rFonts w:hint="eastAsia" w:ascii="仿宋" w:hAnsi="仿宋" w:eastAsia="仿宋" w:cs="仿宋"/>
                <w:sz w:val="22"/>
                <w:szCs w:val="22"/>
              </w:rPr>
              <w:t>1,017.17</w:t>
            </w:r>
          </w:p>
        </w:tc>
        <w:tc>
          <w:tcPr>
            <w:tcW w:w="1512" w:type="dxa"/>
            <w:tcBorders>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sz w:val="22"/>
                <w:szCs w:val="22"/>
              </w:rPr>
            </w:pPr>
            <w:r>
              <w:rPr>
                <w:rFonts w:hint="eastAsia" w:ascii="仿宋" w:hAnsi="仿宋" w:eastAsia="仿宋" w:cs="仿宋"/>
                <w:sz w:val="22"/>
                <w:szCs w:val="22"/>
              </w:rPr>
              <w:t>489.94</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83.95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83.95</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83.95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83.95</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2080505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55.97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55.97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2080506</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27.98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27.98</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23.09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23.09</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23.09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23.09</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2101101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 xml:space="preserve">    行政单位医疗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23.09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23.09</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196.59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196.59</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196.59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196.59</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55.08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55.08</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88.42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88.42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53.09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53.09</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224</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灾害防治及应急管理支出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1,203.48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713.54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489.94</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22401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 xml:space="preserve">  应急管理事务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1,203.48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713.54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489.94</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2240101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 xml:space="preserve">    行政运行</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713.54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713.54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2240109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 xml:space="preserve">    应急管理</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489.94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489.94</w:t>
            </w:r>
          </w:p>
        </w:tc>
      </w:tr>
    </w:tbl>
    <w:p>
      <w:pPr>
        <w:tabs>
          <w:tab w:val="left" w:pos="0"/>
        </w:tabs>
        <w:spacing w:before="25"/>
        <w:jc w:val="both"/>
        <w:rPr>
          <w:rFonts w:hint="eastAsia" w:ascii="仿宋" w:hAnsi="仿宋" w:eastAsia="仿宋" w:cs="仿宋"/>
        </w:rPr>
      </w:pPr>
      <w:r>
        <w:rPr>
          <w:rFonts w:hint="eastAsia" w:ascii="仿宋" w:hAnsi="仿宋" w:eastAsia="仿宋" w:cs="仿宋"/>
        </w:rPr>
        <w:t>注：本表反映本年度一般公共预算财政拨款支出情况。本表金额单位转换时可能存在尾数误差。</w:t>
      </w:r>
    </w:p>
    <w:p>
      <w:pPr>
        <w:spacing w:before="25"/>
        <w:jc w:val="both"/>
        <w:rPr>
          <w:rFonts w:hint="eastAsia" w:ascii="仿宋" w:hAnsi="仿宋" w:eastAsia="仿宋" w:cs="仿宋"/>
        </w:rPr>
        <w:sectPr>
          <w:footerReference r:id="rId13" w:type="default"/>
          <w:pgSz w:w="11906" w:h="16838"/>
          <w:pgMar w:top="720" w:right="720" w:bottom="720" w:left="720" w:header="170" w:footer="280" w:gutter="0"/>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tblPrEx>
          <w:tblCellMar>
            <w:top w:w="55" w:type="dxa"/>
            <w:left w:w="55" w:type="dxa"/>
            <w:bottom w:w="55" w:type="dxa"/>
            <w:right w:w="55" w:type="dxa"/>
          </w:tblCellMar>
        </w:tblPrEx>
        <w:trPr>
          <w:trHeight w:val="319" w:hRule="atLeast"/>
        </w:trPr>
        <w:tc>
          <w:tcPr>
            <w:tcW w:w="10473" w:type="dxa"/>
            <w:gridSpan w:val="5"/>
          </w:tcPr>
          <w:p>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一般公共预算基本支出决算表（经济科目）</w:t>
            </w:r>
          </w:p>
        </w:tc>
      </w:tr>
      <w:tr>
        <w:tblPrEx>
          <w:tblCellMar>
            <w:top w:w="55" w:type="dxa"/>
            <w:left w:w="55" w:type="dxa"/>
            <w:bottom w:w="55" w:type="dxa"/>
            <w:right w:w="55" w:type="dxa"/>
          </w:tblCellMar>
        </w:tblPrEx>
        <w:trPr>
          <w:trHeight w:val="199" w:hRule="atLeast"/>
        </w:trPr>
        <w:tc>
          <w:tcPr>
            <w:tcW w:w="8595" w:type="dxa"/>
            <w:gridSpan w:val="4"/>
            <w:vAlign w:val="center"/>
          </w:tcPr>
          <w:p>
            <w:pPr>
              <w:pStyle w:val="22"/>
              <w:jc w:val="right"/>
              <w:rPr>
                <w:rFonts w:hint="eastAsia" w:ascii="仿宋" w:hAnsi="仿宋" w:eastAsia="仿宋" w:cs="仿宋"/>
                <w:color w:val="000000"/>
              </w:rPr>
            </w:pPr>
          </w:p>
        </w:tc>
        <w:tc>
          <w:tcPr>
            <w:tcW w:w="1878" w:type="dxa"/>
            <w:vAlign w:val="center"/>
          </w:tcPr>
          <w:p>
            <w:pPr>
              <w:pStyle w:val="22"/>
              <w:jc w:val="right"/>
              <w:rPr>
                <w:rFonts w:hint="eastAsia" w:ascii="仿宋" w:hAnsi="仿宋" w:eastAsia="仿宋" w:cs="仿宋"/>
              </w:rPr>
            </w:pPr>
            <w:r>
              <w:rPr>
                <w:rFonts w:hint="eastAsia" w:ascii="仿宋" w:hAnsi="仿宋" w:eastAsia="仿宋" w:cs="仿宋"/>
              </w:rPr>
              <w:t>公开08表</w:t>
            </w:r>
          </w:p>
        </w:tc>
      </w:tr>
      <w:tr>
        <w:tblPrEx>
          <w:tblCellMar>
            <w:top w:w="55" w:type="dxa"/>
            <w:left w:w="55" w:type="dxa"/>
            <w:bottom w:w="55" w:type="dxa"/>
            <w:right w:w="55" w:type="dxa"/>
          </w:tblCellMar>
        </w:tblPrEx>
        <w:trPr>
          <w:trHeight w:val="320" w:hRule="atLeast"/>
        </w:trPr>
        <w:tc>
          <w:tcPr>
            <w:tcW w:w="8595" w:type="dxa"/>
            <w:gridSpan w:val="4"/>
            <w:vAlign w:val="center"/>
          </w:tcPr>
          <w:p>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高新区（新吴区）应急管理局（本级）</w:t>
            </w:r>
          </w:p>
        </w:tc>
        <w:tc>
          <w:tcPr>
            <w:tcW w:w="1878" w:type="dxa"/>
            <w:vAlign w:val="center"/>
          </w:tcPr>
          <w:p>
            <w:pPr>
              <w:pStyle w:val="22"/>
              <w:jc w:val="right"/>
              <w:rPr>
                <w:rFonts w:hint="eastAsia" w:ascii="仿宋" w:hAnsi="仿宋" w:eastAsia="仿宋" w:cs="仿宋"/>
                <w:sz w:val="20"/>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sz w:val="20"/>
              </w:rPr>
            </w:pPr>
            <w:r>
              <w:rPr>
                <w:rFonts w:hint="eastAsia" w:ascii="仿宋" w:hAnsi="仿宋" w:eastAsia="仿宋" w:cs="仿宋"/>
              </w:rPr>
              <w:t>一般公共预算财政拨款基本支出</w:t>
            </w:r>
          </w:p>
        </w:tc>
      </w:tr>
      <w:tr>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r>
              <w:rPr>
                <w:rFonts w:hint="eastAsia" w:ascii="仿宋" w:hAnsi="仿宋" w:eastAsia="仿宋" w:cs="仿宋"/>
                <w:sz w:val="22"/>
                <w:szCs w:val="22"/>
              </w:rPr>
              <w:t>1,017.17</w:t>
            </w:r>
          </w:p>
        </w:tc>
        <w:tc>
          <w:tcPr>
            <w:tcW w:w="1708"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r>
              <w:rPr>
                <w:rFonts w:hint="eastAsia" w:ascii="仿宋" w:hAnsi="仿宋" w:eastAsia="仿宋" w:cs="仿宋"/>
                <w:sz w:val="22"/>
                <w:szCs w:val="22"/>
              </w:rPr>
              <w:t>969.04</w:t>
            </w:r>
          </w:p>
        </w:tc>
        <w:tc>
          <w:tcPr>
            <w:tcW w:w="1878"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2"/>
                <w:szCs w:val="22"/>
              </w:rPr>
            </w:pPr>
            <w:r>
              <w:rPr>
                <w:rFonts w:hint="eastAsia" w:ascii="仿宋" w:hAnsi="仿宋" w:eastAsia="仿宋" w:cs="仿宋"/>
                <w:sz w:val="22"/>
                <w:szCs w:val="22"/>
              </w:rPr>
              <w:t>48.14</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916.72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916.72</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77.87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77.87</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307.67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307.67</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198.55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198.55</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55.97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55.97</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27.98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27.98</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23.09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23.09</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3.30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3.30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55.08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55.08</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167.21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167.21</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47.59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47.59</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14.11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14.11</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0.40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0.40</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0.51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0.51</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2.43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2.43</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0.64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0.64</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1.21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1.21</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2.67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2.67</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10.50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10.50</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0.83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0.83</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13.40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13.40</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0.90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0.90</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52.32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52.32</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28.09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28.09</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0.03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0.03</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24.19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24.19</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0.55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0.55</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0.55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0.55</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31206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其他资本性补助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bl>
    <w:p>
      <w:pPr>
        <w:spacing w:before="25"/>
        <w:ind w:right="-92" w:rightChars="-42"/>
        <w:jc w:val="both"/>
        <w:rPr>
          <w:rFonts w:hint="eastAsia" w:ascii="仿宋" w:hAnsi="仿宋" w:eastAsia="仿宋" w:cs="仿宋"/>
        </w:rPr>
      </w:pPr>
      <w:r>
        <w:rPr>
          <w:rFonts w:hint="eastAsia" w:ascii="仿宋" w:hAnsi="仿宋" w:eastAsia="仿宋" w:cs="仿宋"/>
        </w:rPr>
        <w:t>注：本表反映本年度一般公共预算财政拨款基本支出情况。本表金额单位转换时可能存在尾数误差。</w:t>
      </w:r>
    </w:p>
    <w:p>
      <w:pPr>
        <w:spacing w:before="25"/>
        <w:jc w:val="both"/>
        <w:rPr>
          <w:rFonts w:hint="eastAsia" w:ascii="仿宋" w:hAnsi="仿宋" w:eastAsia="仿宋" w:cs="仿宋"/>
        </w:rPr>
        <w:sectPr>
          <w:footerReference r:id="rId14" w:type="default"/>
          <w:pgSz w:w="11906" w:h="16838"/>
          <w:pgMar w:top="720" w:right="720" w:bottom="720" w:left="720" w:header="170" w:footer="280" w:gutter="0"/>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tblPrEx>
          <w:tblCellMar>
            <w:top w:w="55" w:type="dxa"/>
            <w:left w:w="55" w:type="dxa"/>
            <w:bottom w:w="55" w:type="dxa"/>
            <w:right w:w="55" w:type="dxa"/>
          </w:tblCellMar>
        </w:tblPrEx>
        <w:trPr>
          <w:trHeight w:val="321" w:hRule="atLeast"/>
        </w:trPr>
        <w:tc>
          <w:tcPr>
            <w:tcW w:w="16486" w:type="dxa"/>
            <w:gridSpan w:val="16"/>
          </w:tcPr>
          <w:p>
            <w:pPr>
              <w:pStyle w:val="22"/>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“三公”经费、会议费</w:t>
            </w:r>
            <w:r>
              <w:rPr>
                <w:rFonts w:hint="eastAsia"/>
                <w:b/>
                <w:bCs/>
                <w:color w:val="000000"/>
                <w:sz w:val="36"/>
                <w:szCs w:val="36"/>
                <w:lang w:val="en-US" w:eastAsia="zh-CN"/>
              </w:rPr>
              <w:t>和</w:t>
            </w:r>
            <w:r>
              <w:rPr>
                <w:rFonts w:hint="eastAsia"/>
                <w:b/>
                <w:bCs/>
                <w:color w:val="000000"/>
                <w:sz w:val="36"/>
                <w:szCs w:val="36"/>
                <w:lang w:eastAsia="ar-SA"/>
              </w:rPr>
              <w:t>培训费支出决算表</w:t>
            </w:r>
          </w:p>
        </w:tc>
      </w:tr>
      <w:tr>
        <w:tblPrEx>
          <w:tblCellMar>
            <w:top w:w="55" w:type="dxa"/>
            <w:left w:w="55" w:type="dxa"/>
            <w:bottom w:w="55" w:type="dxa"/>
            <w:right w:w="55" w:type="dxa"/>
          </w:tblCellMar>
        </w:tblPrEx>
        <w:trPr>
          <w:trHeight w:val="207" w:hRule="atLeast"/>
        </w:trPr>
        <w:tc>
          <w:tcPr>
            <w:tcW w:w="16486" w:type="dxa"/>
            <w:gridSpan w:val="16"/>
          </w:tcPr>
          <w:p>
            <w:pPr>
              <w:pStyle w:val="22"/>
              <w:jc w:val="right"/>
              <w:rPr>
                <w:rFonts w:hint="eastAsia" w:ascii="仿宋" w:hAnsi="仿宋" w:eastAsia="仿宋" w:cs="仿宋"/>
                <w:sz w:val="20"/>
              </w:rPr>
            </w:pPr>
            <w:r>
              <w:rPr>
                <w:rFonts w:hint="eastAsia" w:ascii="仿宋" w:hAnsi="仿宋" w:eastAsia="仿宋" w:cs="仿宋"/>
              </w:rPr>
              <w:t>公开09表</w:t>
            </w:r>
          </w:p>
        </w:tc>
      </w:tr>
      <w:tr>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高新区（新吴区）应急管理局（本级）</w:t>
            </w:r>
          </w:p>
        </w:tc>
        <w:tc>
          <w:tcPr>
            <w:tcW w:w="8274" w:type="dxa"/>
            <w:gridSpan w:val="8"/>
            <w:tcBorders>
              <w:bottom w:val="single" w:color="auto" w:sz="4" w:space="0"/>
            </w:tcBorders>
          </w:tcPr>
          <w:p>
            <w:pPr>
              <w:pStyle w:val="22"/>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pPr>
              <w:pStyle w:val="22"/>
              <w:jc w:val="center"/>
              <w:rPr>
                <w:rFonts w:hint="eastAsia" w:ascii="仿宋" w:hAnsi="仿宋" w:eastAsia="仿宋" w:cs="仿宋"/>
              </w:rPr>
            </w:pPr>
            <w:r>
              <w:rPr>
                <w:rFonts w:hint="eastAsia" w:ascii="仿宋" w:hAnsi="仿宋" w:eastAsia="仿宋" w:cs="仿宋"/>
                <w:lang w:val="en-US"/>
              </w:rPr>
              <w:t>预算数</w:t>
            </w:r>
          </w:p>
        </w:tc>
        <w:tc>
          <w:tcPr>
            <w:tcW w:w="8274" w:type="dxa"/>
            <w:gridSpan w:val="8"/>
            <w:tcBorders>
              <w:top w:val="single" w:color="auto" w:sz="4" w:space="0"/>
              <w:left w:val="single" w:color="auto" w:sz="4" w:space="0"/>
              <w:bottom w:val="single" w:color="auto" w:sz="4" w:space="0"/>
              <w:right w:val="single" w:color="auto" w:sz="4" w:space="0"/>
            </w:tcBorders>
          </w:tcPr>
          <w:p>
            <w:pPr>
              <w:pStyle w:val="22"/>
              <w:jc w:val="center"/>
              <w:rPr>
                <w:rFonts w:hint="eastAsia" w:ascii="仿宋" w:hAnsi="仿宋" w:eastAsia="仿宋" w:cs="仿宋"/>
                <w:lang w:val="en-US"/>
              </w:rPr>
            </w:pPr>
            <w:r>
              <w:rPr>
                <w:rFonts w:hint="eastAsia" w:ascii="仿宋" w:hAnsi="仿宋" w:eastAsia="仿宋" w:cs="仿宋"/>
                <w:lang w:val="en-US"/>
              </w:rPr>
              <w:t>决算数</w:t>
            </w:r>
          </w:p>
        </w:tc>
      </w:tr>
      <w:tr>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培训费</w:t>
            </w:r>
          </w:p>
        </w:tc>
      </w:tr>
      <w:tr>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公务</w:t>
            </w:r>
          </w:p>
          <w:p>
            <w:pPr>
              <w:pStyle w:val="22"/>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pPr>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pPr>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pPr>
              <w:pStyle w:val="22"/>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pPr>
              <w:pStyle w:val="22"/>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公务</w:t>
            </w:r>
          </w:p>
          <w:p>
            <w:pPr>
              <w:pStyle w:val="22"/>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pPr>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pPr>
              <w:jc w:val="center"/>
              <w:rPr>
                <w:rFonts w:hint="eastAsia" w:ascii="仿宋" w:hAnsi="仿宋" w:eastAsia="仿宋" w:cs="仿宋"/>
                <w:sz w:val="20"/>
              </w:rPr>
            </w:pPr>
          </w:p>
        </w:tc>
      </w:tr>
      <w:tr>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pPr>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pPr>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ascii="仿宋" w:hAnsi="仿宋" w:eastAsia="仿宋" w:cs="仿宋"/>
                <w:u w:color="auto"/>
              </w:rPr>
              <w:t>小计</w:t>
            </w:r>
          </w:p>
        </w:tc>
        <w:tc>
          <w:tcPr>
            <w:tcW w:w="1029"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pPr>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pPr>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tcPr>
          <w:p>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pPr>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sz w:val="2"/>
                <w:szCs w:val="2"/>
              </w:rPr>
            </w:pPr>
            <w:r>
              <w:rPr>
                <w:rFonts w:ascii="仿宋" w:hAnsi="仿宋" w:eastAsia="仿宋" w:cs="仿宋"/>
                <w:u w:color="auto"/>
              </w:rPr>
              <w:t>小计</w:t>
            </w:r>
          </w:p>
        </w:tc>
        <w:tc>
          <w:tcPr>
            <w:tcW w:w="1089" w:type="dxa"/>
            <w:tcBorders>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tcPr>
          <w:p>
            <w:pPr>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tcPr>
          <w:p>
            <w:pPr>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tcPr>
          <w:p>
            <w:pPr>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2.67</w:t>
            </w:r>
          </w:p>
        </w:tc>
        <w:tc>
          <w:tcPr>
            <w:tcW w:w="1042" w:type="dxa"/>
            <w:tcBorders>
              <w:left w:val="single" w:color="000000" w:sz="4" w:space="0"/>
              <w:bottom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2.67</w:t>
            </w:r>
          </w:p>
        </w:tc>
        <w:tc>
          <w:tcPr>
            <w:tcW w:w="1043" w:type="dxa"/>
            <w:tcBorders>
              <w:left w:val="single" w:color="000000" w:sz="4" w:space="0"/>
              <w:bottom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0.64</w:t>
            </w:r>
          </w:p>
        </w:tc>
        <w:tc>
          <w:tcPr>
            <w:tcW w:w="1010"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7.48</w:t>
            </w:r>
          </w:p>
        </w:tc>
        <w:tc>
          <w:tcPr>
            <w:tcW w:w="1058"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2.67</w:t>
            </w:r>
          </w:p>
        </w:tc>
        <w:tc>
          <w:tcPr>
            <w:tcW w:w="1010"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2.67</w:t>
            </w:r>
          </w:p>
        </w:tc>
        <w:tc>
          <w:tcPr>
            <w:tcW w:w="1057"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0.64</w:t>
            </w:r>
          </w:p>
        </w:tc>
        <w:tc>
          <w:tcPr>
            <w:tcW w:w="1027"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6.99</w:t>
            </w:r>
          </w:p>
        </w:tc>
      </w:tr>
    </w:tbl>
    <w:p>
      <w:pPr>
        <w:spacing w:before="30" w:after="33"/>
        <w:ind w:left="220" w:leftChars="100"/>
        <w:rPr>
          <w:rFonts w:hint="eastAsia" w:ascii="仿宋" w:hAnsi="仿宋" w:eastAsia="仿宋" w:cs="仿宋"/>
        </w:rPr>
      </w:pPr>
      <w:r>
        <w:rPr>
          <w:rFonts w:hint="eastAsia" w:ascii="仿宋" w:hAnsi="仿宋" w:eastAsia="仿宋" w:cs="仿宋"/>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pPr>
              <w:pStyle w:val="22"/>
              <w:jc w:val="center"/>
              <w:rPr>
                <w:rFonts w:hint="eastAsia" w:ascii="仿宋" w:hAnsi="仿宋" w:eastAsia="仿宋" w:cs="仿宋"/>
              </w:rPr>
            </w:pPr>
            <w:r>
              <w:rPr>
                <w:rFonts w:ascii="仿宋" w:hAnsi="仿宋" w:eastAsia="仿宋" w:cs="仿宋"/>
                <w:u w:color="auto"/>
              </w:rPr>
              <w:t>项目</w:t>
            </w:r>
          </w:p>
        </w:tc>
        <w:tc>
          <w:tcPr>
            <w:tcW w:w="1976" w:type="dxa"/>
            <w:tcBorders>
              <w:top w:val="single" w:color="auto" w:sz="4" w:space="0"/>
              <w:left w:val="single" w:color="000000"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统计数</w:t>
            </w:r>
          </w:p>
        </w:tc>
        <w:tc>
          <w:tcPr>
            <w:tcW w:w="3908" w:type="dxa"/>
            <w:tcBorders>
              <w:top w:val="single" w:color="auto" w:sz="4" w:space="0"/>
              <w:left w:val="single" w:color="000000"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项目</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统计数</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0</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0</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30</w:t>
            </w:r>
          </w:p>
        </w:tc>
        <w:tc>
          <w:tcPr>
            <w:tcW w:w="3908" w:type="dxa"/>
            <w:tcBorders>
              <w:top w:val="single" w:color="auto" w:sz="4" w:space="0"/>
              <w:left w:val="single" w:color="000000"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300</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0</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30</w:t>
            </w:r>
          </w:p>
        </w:tc>
        <w:tc>
          <w:tcPr>
            <w:tcW w:w="3908" w:type="dxa"/>
            <w:tcBorders>
              <w:top w:val="single" w:color="auto" w:sz="4" w:space="0"/>
              <w:left w:val="single" w:color="000000"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300</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2</w:t>
            </w:r>
          </w:p>
        </w:tc>
        <w:tc>
          <w:tcPr>
            <w:tcW w:w="3908" w:type="dxa"/>
            <w:tcBorders>
              <w:top w:val="single" w:color="auto" w:sz="4" w:space="0"/>
              <w:left w:val="single" w:color="000000"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200</w:t>
            </w:r>
          </w:p>
        </w:tc>
      </w:tr>
    </w:tbl>
    <w:p>
      <w:pPr>
        <w:ind w:right="-2"/>
        <w:jc w:val="both"/>
        <w:rPr>
          <w:rFonts w:hint="eastAsia" w:ascii="仿宋" w:hAnsi="仿宋" w:eastAsia="仿宋" w:cs="仿宋"/>
        </w:rPr>
      </w:pPr>
      <w:r>
        <w:rPr>
          <w:rFonts w:hint="eastAsia" w:ascii="仿宋" w:hAnsi="仿宋" w:eastAsia="仿宋" w:cs="仿宋"/>
        </w:rPr>
        <w:t>注：</w:t>
      </w:r>
      <w:r>
        <w:rPr>
          <w:rFonts w:hint="eastAsia" w:ascii="仿宋" w:hAnsi="仿宋" w:eastAsia="仿宋" w:cs="仿宋"/>
          <w:lang w:val="en-US"/>
        </w:rPr>
        <w:t>本表反映本年度财政拨款“三公”经费、会议费和培训费支出情况。其中，预算数为全年预算数，反映按规定程序调整后的预算数；决算数是包括当年财政拨款和以前年度结转资金安排的实际支出。本表金额单位转换时可能存在尾数误差</w:t>
      </w:r>
      <w:r>
        <w:rPr>
          <w:rFonts w:hint="eastAsia" w:ascii="仿宋" w:hAnsi="仿宋" w:eastAsia="仿宋" w:cs="仿宋"/>
        </w:rPr>
        <w:t>。</w:t>
      </w:r>
    </w:p>
    <w:p>
      <w:pPr>
        <w:ind w:left="227" w:firstLine="220" w:firstLineChars="100"/>
        <w:jc w:val="both"/>
        <w:rPr>
          <w:rFonts w:hint="eastAsia" w:ascii="仿宋" w:hAnsi="仿宋" w:eastAsia="仿宋" w:cs="仿宋"/>
        </w:rPr>
        <w:sectPr>
          <w:footerReference r:id="rId15" w:type="default"/>
          <w:pgSz w:w="16838" w:h="11906" w:orient="landscape"/>
          <w:pgMar w:top="720" w:right="153" w:bottom="720" w:left="153" w:header="170" w:footer="280" w:gutter="0"/>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tblPrEx>
          <w:tblCellMar>
            <w:top w:w="55" w:type="dxa"/>
            <w:left w:w="55" w:type="dxa"/>
            <w:bottom w:w="55" w:type="dxa"/>
            <w:right w:w="55" w:type="dxa"/>
          </w:tblCellMar>
        </w:tblPrEx>
        <w:trPr>
          <w:trHeight w:val="395" w:hRule="atLeast"/>
        </w:trPr>
        <w:tc>
          <w:tcPr>
            <w:tcW w:w="15400" w:type="dxa"/>
            <w:gridSpan w:val="5"/>
            <w:vAlign w:val="center"/>
          </w:tcPr>
          <w:p>
            <w:pPr>
              <w:pStyle w:val="22"/>
              <w:jc w:val="center"/>
              <w:rPr>
                <w:rFonts w:hint="eastAsia" w:ascii="仿宋" w:hAnsi="仿宋" w:eastAsia="仿宋" w:cs="仿宋"/>
                <w:b/>
                <w:bCs/>
                <w:sz w:val="44"/>
                <w:szCs w:val="44"/>
              </w:rPr>
            </w:pPr>
            <w:r>
              <w:rPr>
                <w:rFonts w:hint="eastAsia"/>
                <w:b/>
                <w:bCs/>
                <w:color w:val="000000"/>
                <w:sz w:val="36"/>
                <w:szCs w:val="36"/>
                <w:lang w:eastAsia="ar-SA"/>
              </w:rPr>
              <w:t>政府性基金预算支出决算表</w:t>
            </w:r>
          </w:p>
        </w:tc>
      </w:tr>
      <w:tr>
        <w:tblPrEx>
          <w:tblCellMar>
            <w:top w:w="55" w:type="dxa"/>
            <w:left w:w="55" w:type="dxa"/>
            <w:bottom w:w="55" w:type="dxa"/>
            <w:right w:w="55" w:type="dxa"/>
          </w:tblCellMar>
        </w:tblPrEx>
        <w:trPr>
          <w:trHeight w:val="323" w:hRule="atLeast"/>
        </w:trPr>
        <w:tc>
          <w:tcPr>
            <w:tcW w:w="8426" w:type="dxa"/>
            <w:gridSpan w:val="2"/>
          </w:tcPr>
          <w:p>
            <w:pPr>
              <w:pStyle w:val="22"/>
              <w:rPr>
                <w:rFonts w:hint="eastAsia" w:ascii="仿宋" w:hAnsi="仿宋" w:eastAsia="仿宋" w:cs="仿宋"/>
                <w:sz w:val="20"/>
              </w:rPr>
            </w:pPr>
          </w:p>
        </w:tc>
        <w:tc>
          <w:tcPr>
            <w:tcW w:w="2684" w:type="dxa"/>
          </w:tcPr>
          <w:p>
            <w:pPr>
              <w:pStyle w:val="22"/>
              <w:rPr>
                <w:rFonts w:hint="eastAsia" w:ascii="仿宋" w:hAnsi="仿宋" w:eastAsia="仿宋" w:cs="仿宋"/>
                <w:sz w:val="27"/>
              </w:rPr>
            </w:pPr>
          </w:p>
        </w:tc>
        <w:tc>
          <w:tcPr>
            <w:tcW w:w="2432" w:type="dxa"/>
          </w:tcPr>
          <w:p>
            <w:pPr>
              <w:pStyle w:val="22"/>
              <w:rPr>
                <w:rFonts w:hint="eastAsia" w:ascii="仿宋" w:hAnsi="仿宋" w:eastAsia="仿宋" w:cs="仿宋"/>
                <w:sz w:val="20"/>
              </w:rPr>
            </w:pPr>
          </w:p>
        </w:tc>
        <w:tc>
          <w:tcPr>
            <w:tcW w:w="1858" w:type="dxa"/>
            <w:vAlign w:val="center"/>
          </w:tcPr>
          <w:p>
            <w:pPr>
              <w:pStyle w:val="22"/>
              <w:jc w:val="right"/>
              <w:rPr>
                <w:rFonts w:hint="eastAsia" w:ascii="仿宋" w:hAnsi="仿宋" w:eastAsia="仿宋" w:cs="仿宋"/>
                <w:sz w:val="27"/>
              </w:rPr>
            </w:pPr>
            <w:r>
              <w:rPr>
                <w:rFonts w:hint="eastAsia" w:ascii="仿宋" w:hAnsi="仿宋" w:eastAsia="仿宋" w:cs="仿宋"/>
              </w:rPr>
              <w:t>公开10表</w:t>
            </w:r>
          </w:p>
        </w:tc>
      </w:tr>
      <w:tr>
        <w:tblPrEx>
          <w:tblCellMar>
            <w:top w:w="55" w:type="dxa"/>
            <w:left w:w="55" w:type="dxa"/>
            <w:bottom w:w="55" w:type="dxa"/>
            <w:right w:w="55" w:type="dxa"/>
          </w:tblCellMar>
        </w:tblPrEx>
        <w:trPr>
          <w:trHeight w:val="152" w:hRule="atLeast"/>
        </w:trPr>
        <w:tc>
          <w:tcPr>
            <w:tcW w:w="13542" w:type="dxa"/>
            <w:gridSpan w:val="4"/>
            <w:vAlign w:val="center"/>
          </w:tcPr>
          <w:p>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高新区（新吴区）应急管理局（本级）</w:t>
            </w:r>
          </w:p>
        </w:tc>
        <w:tc>
          <w:tcPr>
            <w:tcW w:w="1858" w:type="dxa"/>
            <w:vAlign w:val="center"/>
          </w:tcPr>
          <w:p>
            <w:pPr>
              <w:pStyle w:val="22"/>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功能分类</w:t>
            </w:r>
          </w:p>
          <w:p>
            <w:pPr>
              <w:pStyle w:val="22"/>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pPr>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pPr>
              <w:pStyle w:val="22"/>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pPr>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pPr>
              <w:pStyle w:val="22"/>
              <w:jc w:val="center"/>
              <w:rPr>
                <w:rFonts w:hint="eastAsia" w:ascii="仿宋" w:hAnsi="仿宋" w:eastAsia="仿宋" w:cs="仿宋"/>
                <w:lang w:val="en-US"/>
              </w:rPr>
            </w:pPr>
            <w:r>
              <w:rPr>
                <w:rFonts w:hint="eastAsia" w:ascii="仿宋" w:hAnsi="仿宋" w:eastAsia="仿宋" w:cs="仿宋"/>
                <w:lang w:val="en-US"/>
              </w:rPr>
              <w:t>1</w:t>
            </w:r>
          </w:p>
        </w:tc>
        <w:tc>
          <w:tcPr>
            <w:tcW w:w="2432"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lang w:val="en-US"/>
              </w:rPr>
            </w:pPr>
            <w:r>
              <w:rPr>
                <w:rFonts w:hint="eastAsia" w:ascii="仿宋" w:hAnsi="仿宋" w:eastAsia="仿宋" w:cs="仿宋"/>
                <w:lang w:val="en-US"/>
              </w:rPr>
              <w:t>3</w:t>
            </w:r>
          </w:p>
        </w:tc>
      </w:tr>
      <w:tr>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2432"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1858"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268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c>
          <w:tcPr>
            <w:tcW w:w="2432"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268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c>
          <w:tcPr>
            <w:tcW w:w="2432"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bl>
    <w:p>
      <w:pPr>
        <w:spacing w:before="25"/>
        <w:jc w:val="both"/>
        <w:rPr>
          <w:rFonts w:hint="eastAsia" w:ascii="仿宋" w:hAnsi="仿宋" w:eastAsia="仿宋" w:cs="仿宋"/>
        </w:rPr>
      </w:pPr>
      <w:r>
        <w:rPr>
          <w:rFonts w:hint="eastAsia" w:ascii="仿宋" w:hAnsi="仿宋" w:eastAsia="仿宋" w:cs="仿宋"/>
        </w:rPr>
        <w:t>注：本表反映本年度政府性基金预算财政拨款支出情况。</w:t>
      </w:r>
    </w:p>
    <w:p>
      <w:pPr>
        <w:spacing w:before="25"/>
        <w:ind w:left="440" w:leftChars="200"/>
        <w:jc w:val="both"/>
        <w:rPr>
          <w:rFonts w:hint="eastAsia" w:ascii="仿宋" w:hAnsi="仿宋" w:eastAsia="仿宋" w:cs="仿宋"/>
          <w:lang w:val="en-US"/>
        </w:rPr>
      </w:pPr>
      <w:r>
        <w:rPr>
          <w:rFonts w:ascii="仿宋" w:hAnsi="仿宋" w:eastAsia="仿宋" w:cs="仿宋"/>
          <w:u w:color="auto"/>
        </w:rPr>
        <w:t>本单位无政府性基金预算收入支出决算，故本表为空。</w:t>
      </w:r>
    </w:p>
    <w:p>
      <w:pPr>
        <w:spacing w:before="25"/>
        <w:jc w:val="both"/>
        <w:rPr>
          <w:rFonts w:hint="eastAsia" w:ascii="仿宋" w:hAnsi="仿宋" w:eastAsia="仿宋" w:cs="仿宋"/>
          <w:lang w:val="en-US"/>
        </w:rPr>
        <w:sectPr>
          <w:footerReference r:id="rId16"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tblPrEx>
          <w:tblCellMar>
            <w:top w:w="55" w:type="dxa"/>
            <w:left w:w="55" w:type="dxa"/>
            <w:bottom w:w="55" w:type="dxa"/>
            <w:right w:w="55" w:type="dxa"/>
          </w:tblCellMar>
        </w:tblPrEx>
        <w:trPr>
          <w:trHeight w:val="395" w:hRule="atLeast"/>
        </w:trPr>
        <w:tc>
          <w:tcPr>
            <w:tcW w:w="15400" w:type="dxa"/>
            <w:gridSpan w:val="5"/>
            <w:vAlign w:val="center"/>
          </w:tcPr>
          <w:p>
            <w:pPr>
              <w:pStyle w:val="22"/>
              <w:jc w:val="center"/>
              <w:rPr>
                <w:rFonts w:hint="eastAsia" w:ascii="仿宋" w:hAnsi="仿宋" w:eastAsia="仿宋" w:cs="仿宋"/>
                <w:b/>
                <w:bCs/>
                <w:sz w:val="44"/>
                <w:szCs w:val="44"/>
              </w:rPr>
            </w:pPr>
            <w:r>
              <w:rPr>
                <w:rFonts w:hint="eastAsia"/>
                <w:b/>
                <w:bCs/>
                <w:color w:val="000000"/>
                <w:sz w:val="36"/>
                <w:szCs w:val="36"/>
                <w:lang w:eastAsia="ar-SA"/>
              </w:rPr>
              <w:t>国有资本经营预算支出决算表</w:t>
            </w:r>
          </w:p>
        </w:tc>
      </w:tr>
      <w:tr>
        <w:tblPrEx>
          <w:tblCellMar>
            <w:top w:w="55" w:type="dxa"/>
            <w:left w:w="55" w:type="dxa"/>
            <w:bottom w:w="55" w:type="dxa"/>
            <w:right w:w="55" w:type="dxa"/>
          </w:tblCellMar>
        </w:tblPrEx>
        <w:trPr>
          <w:trHeight w:val="323" w:hRule="atLeast"/>
        </w:trPr>
        <w:tc>
          <w:tcPr>
            <w:tcW w:w="8520" w:type="dxa"/>
            <w:gridSpan w:val="2"/>
          </w:tcPr>
          <w:p>
            <w:pPr>
              <w:pStyle w:val="22"/>
              <w:rPr>
                <w:rFonts w:hint="eastAsia" w:ascii="仿宋" w:hAnsi="仿宋" w:eastAsia="仿宋" w:cs="仿宋"/>
                <w:sz w:val="20"/>
              </w:rPr>
            </w:pPr>
          </w:p>
        </w:tc>
        <w:tc>
          <w:tcPr>
            <w:tcW w:w="2510" w:type="dxa"/>
          </w:tcPr>
          <w:p>
            <w:pPr>
              <w:pStyle w:val="22"/>
              <w:rPr>
                <w:rFonts w:hint="eastAsia" w:ascii="仿宋" w:hAnsi="仿宋" w:eastAsia="仿宋" w:cs="仿宋"/>
                <w:sz w:val="27"/>
              </w:rPr>
            </w:pPr>
          </w:p>
        </w:tc>
        <w:tc>
          <w:tcPr>
            <w:tcW w:w="2309" w:type="dxa"/>
          </w:tcPr>
          <w:p>
            <w:pPr>
              <w:pStyle w:val="22"/>
              <w:rPr>
                <w:rFonts w:hint="eastAsia" w:ascii="仿宋" w:hAnsi="仿宋" w:eastAsia="仿宋" w:cs="仿宋"/>
                <w:sz w:val="20"/>
              </w:rPr>
            </w:pPr>
          </w:p>
        </w:tc>
        <w:tc>
          <w:tcPr>
            <w:tcW w:w="2061" w:type="dxa"/>
            <w:vAlign w:val="center"/>
          </w:tcPr>
          <w:p>
            <w:pPr>
              <w:pStyle w:val="22"/>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rPr>
              <w:t>1</w:t>
            </w:r>
            <w:r>
              <w:rPr>
                <w:rFonts w:hint="eastAsia" w:ascii="仿宋" w:hAnsi="仿宋" w:eastAsia="仿宋" w:cs="仿宋"/>
              </w:rPr>
              <w:t>表</w:t>
            </w:r>
          </w:p>
        </w:tc>
      </w:tr>
      <w:tr>
        <w:tblPrEx>
          <w:tblCellMar>
            <w:top w:w="55" w:type="dxa"/>
            <w:left w:w="55" w:type="dxa"/>
            <w:bottom w:w="55" w:type="dxa"/>
            <w:right w:w="55" w:type="dxa"/>
          </w:tblCellMar>
        </w:tblPrEx>
        <w:trPr>
          <w:trHeight w:val="152" w:hRule="atLeast"/>
        </w:trPr>
        <w:tc>
          <w:tcPr>
            <w:tcW w:w="13339" w:type="dxa"/>
            <w:gridSpan w:val="4"/>
            <w:vAlign w:val="center"/>
          </w:tcPr>
          <w:p>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高新区（新吴区）应急管理局（本级）</w:t>
            </w:r>
          </w:p>
        </w:tc>
        <w:tc>
          <w:tcPr>
            <w:tcW w:w="2061" w:type="dxa"/>
            <w:vAlign w:val="center"/>
          </w:tcPr>
          <w:p>
            <w:pPr>
              <w:pStyle w:val="22"/>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功能分类</w:t>
            </w:r>
          </w:p>
          <w:p>
            <w:pPr>
              <w:pStyle w:val="22"/>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pPr>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pPr>
              <w:pStyle w:val="22"/>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pPr>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pPr>
              <w:pStyle w:val="22"/>
              <w:jc w:val="center"/>
              <w:rPr>
                <w:rFonts w:hint="eastAsia" w:ascii="仿宋" w:hAnsi="仿宋" w:eastAsia="仿宋" w:cs="仿宋"/>
                <w:lang w:val="en-US"/>
              </w:rPr>
            </w:pPr>
            <w:r>
              <w:rPr>
                <w:rFonts w:hint="eastAsia" w:ascii="仿宋" w:hAnsi="仿宋" w:eastAsia="仿宋" w:cs="仿宋"/>
                <w:lang w:val="en-US"/>
              </w:rPr>
              <w:t>1</w:t>
            </w:r>
          </w:p>
        </w:tc>
        <w:tc>
          <w:tcPr>
            <w:tcW w:w="2309"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lang w:val="en-US"/>
              </w:rPr>
            </w:pPr>
            <w:r>
              <w:rPr>
                <w:rFonts w:hint="eastAsia" w:ascii="仿宋" w:hAnsi="仿宋" w:eastAsia="仿宋" w:cs="仿宋"/>
                <w:lang w:val="en-US"/>
              </w:rPr>
              <w:t>3</w:t>
            </w:r>
          </w:p>
        </w:tc>
      </w:tr>
      <w:tr>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2309"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2061"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251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c>
          <w:tcPr>
            <w:tcW w:w="230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c>
          <w:tcPr>
            <w:tcW w:w="206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251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c>
          <w:tcPr>
            <w:tcW w:w="230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c>
          <w:tcPr>
            <w:tcW w:w="206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bl>
    <w:p>
      <w:pPr>
        <w:jc w:val="both"/>
        <w:rPr>
          <w:rFonts w:hint="eastAsia" w:ascii="仿宋" w:hAnsi="仿宋" w:eastAsia="仿宋" w:cs="仿宋"/>
        </w:rPr>
      </w:pPr>
      <w:r>
        <w:rPr>
          <w:rFonts w:hint="eastAsia" w:ascii="仿宋" w:hAnsi="仿宋" w:eastAsia="仿宋" w:cs="仿宋"/>
        </w:rPr>
        <w:t>注：本表反映本年度国有资本经营预算财政拨款支出情况。</w:t>
      </w:r>
    </w:p>
    <w:p>
      <w:pPr>
        <w:ind w:left="440" w:leftChars="200"/>
        <w:jc w:val="both"/>
        <w:rPr>
          <w:rFonts w:hint="eastAsia" w:ascii="仿宋" w:hAnsi="仿宋" w:eastAsia="仿宋" w:cs="仿宋"/>
          <w:lang w:val="en-US"/>
        </w:rPr>
      </w:pPr>
      <w:r>
        <w:rPr>
          <w:rFonts w:ascii="仿宋" w:hAnsi="仿宋" w:eastAsia="仿宋" w:cs="仿宋"/>
          <w:u w:color="auto"/>
        </w:rPr>
        <w:t>本单位无</w:t>
      </w:r>
      <w:r>
        <w:rPr>
          <w:rFonts w:hint="eastAsia" w:ascii="仿宋" w:hAnsi="仿宋" w:eastAsia="仿宋" w:cs="仿宋"/>
        </w:rPr>
        <w:t>国有资本经营预算支出</w:t>
      </w:r>
      <w:r>
        <w:rPr>
          <w:rFonts w:hint="eastAsia" w:ascii="仿宋" w:hAnsi="仿宋" w:eastAsia="仿宋" w:cs="仿宋"/>
          <w:lang w:val="en-US"/>
        </w:rPr>
        <w:t>决算，故本表为空。</w:t>
      </w:r>
    </w:p>
    <w:p>
      <w:pPr>
        <w:spacing w:before="25"/>
        <w:ind w:left="-220" w:leftChars="-100"/>
        <w:jc w:val="both"/>
        <w:rPr>
          <w:rFonts w:hint="eastAsia" w:ascii="仿宋" w:hAnsi="仿宋" w:eastAsia="仿宋" w:cs="仿宋"/>
          <w:lang w:val="en-US"/>
        </w:rPr>
        <w:sectPr>
          <w:pgSz w:w="16838" w:h="11906" w:orient="landscape"/>
          <w:pgMar w:top="720" w:right="720" w:bottom="720" w:left="720" w:header="170" w:footer="280" w:gutter="0"/>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tblPrEx>
          <w:tblCellMar>
            <w:top w:w="55" w:type="dxa"/>
            <w:left w:w="55" w:type="dxa"/>
            <w:bottom w:w="55" w:type="dxa"/>
            <w:right w:w="55" w:type="dxa"/>
          </w:tblCellMar>
        </w:tblPrEx>
        <w:trPr>
          <w:trHeight w:val="319" w:hRule="atLeast"/>
        </w:trPr>
        <w:tc>
          <w:tcPr>
            <w:tcW w:w="10466" w:type="dxa"/>
            <w:gridSpan w:val="3"/>
          </w:tcPr>
          <w:p>
            <w:pPr>
              <w:pStyle w:val="22"/>
              <w:tabs>
                <w:tab w:val="left" w:pos="610"/>
              </w:tabs>
              <w:spacing w:before="28"/>
              <w:ind w:left="8"/>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机关运行经费支出决算表</w:t>
            </w:r>
          </w:p>
        </w:tc>
      </w:tr>
      <w:tr>
        <w:tblPrEx>
          <w:tblCellMar>
            <w:top w:w="55" w:type="dxa"/>
            <w:left w:w="55" w:type="dxa"/>
            <w:bottom w:w="55" w:type="dxa"/>
            <w:right w:w="55" w:type="dxa"/>
          </w:tblCellMar>
        </w:tblPrEx>
        <w:trPr>
          <w:trHeight w:val="90" w:hRule="atLeast"/>
        </w:trPr>
        <w:tc>
          <w:tcPr>
            <w:tcW w:w="6632" w:type="dxa"/>
            <w:gridSpan w:val="2"/>
          </w:tcPr>
          <w:p>
            <w:pPr>
              <w:pStyle w:val="22"/>
              <w:rPr>
                <w:rFonts w:hint="eastAsia" w:ascii="仿宋" w:hAnsi="仿宋" w:eastAsia="仿宋" w:cs="仿宋"/>
                <w:sz w:val="20"/>
              </w:rPr>
            </w:pPr>
          </w:p>
        </w:tc>
        <w:tc>
          <w:tcPr>
            <w:tcW w:w="3834" w:type="dxa"/>
            <w:vAlign w:val="center"/>
          </w:tcPr>
          <w:p>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6632" w:type="dxa"/>
            <w:gridSpan w:val="2"/>
            <w:vAlign w:val="center"/>
          </w:tcPr>
          <w:p>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高新区（新吴区）应急管理局（本级）</w:t>
            </w:r>
          </w:p>
        </w:tc>
        <w:tc>
          <w:tcPr>
            <w:tcW w:w="3834" w:type="dxa"/>
            <w:vAlign w:val="center"/>
          </w:tcPr>
          <w:p>
            <w:pPr>
              <w:pStyle w:val="22"/>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机关运行经费支出决算</w:t>
            </w:r>
          </w:p>
        </w:tc>
      </w:tr>
      <w:tr>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科目编码</w:t>
            </w:r>
          </w:p>
        </w:tc>
        <w:tc>
          <w:tcPr>
            <w:tcW w:w="4990"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科目名称</w:t>
            </w:r>
          </w:p>
        </w:tc>
        <w:tc>
          <w:tcPr>
            <w:tcW w:w="3834" w:type="dxa"/>
            <w:vMerge w:val="continue"/>
            <w:tcBorders>
              <w:left w:val="single" w:color="000000" w:sz="4" w:space="0"/>
              <w:bottom w:val="single" w:color="000000" w:sz="4" w:space="0"/>
              <w:right w:val="single" w:color="000000" w:sz="4" w:space="0"/>
            </w:tcBorders>
          </w:tcPr>
          <w:p>
            <w:pPr>
              <w:rPr>
                <w:rFonts w:hint="eastAsia" w:ascii="仿宋" w:hAnsi="仿宋" w:eastAsia="仿宋" w:cs="仿宋"/>
              </w:rPr>
            </w:pPr>
          </w:p>
        </w:tc>
      </w:tr>
      <w:tr>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合计</w:t>
            </w:r>
          </w:p>
        </w:tc>
        <w:tc>
          <w:tcPr>
            <w:tcW w:w="3834"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48.14</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r>
              <w:rPr>
                <w:rFonts w:hint="eastAsia" w:ascii="仿宋" w:hAnsi="仿宋" w:eastAsia="仿宋" w:cs="仿宋"/>
              </w:rPr>
              <w:t>47.59</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r>
              <w:rPr>
                <w:rFonts w:hint="eastAsia" w:ascii="仿宋" w:hAnsi="仿宋" w:eastAsia="仿宋" w:cs="仿宋"/>
              </w:rPr>
              <w:t>14.11</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r>
              <w:rPr>
                <w:rFonts w:hint="eastAsia" w:ascii="仿宋" w:hAnsi="仿宋" w:eastAsia="仿宋" w:cs="仿宋"/>
              </w:rPr>
              <w:t>0.40</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r>
              <w:rPr>
                <w:rFonts w:hint="eastAsia" w:ascii="仿宋" w:hAnsi="仿宋" w:eastAsia="仿宋" w:cs="仿宋"/>
              </w:rPr>
              <w:t>0.51</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r>
              <w:rPr>
                <w:rFonts w:hint="eastAsia" w:ascii="仿宋" w:hAnsi="仿宋" w:eastAsia="仿宋" w:cs="仿宋"/>
              </w:rPr>
              <w:t>2.43</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r>
              <w:rPr>
                <w:rFonts w:hint="eastAsia" w:ascii="仿宋" w:hAnsi="仿宋" w:eastAsia="仿宋" w:cs="仿宋"/>
              </w:rPr>
              <w:t>0.64</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r>
              <w:rPr>
                <w:rFonts w:hint="eastAsia" w:ascii="仿宋" w:hAnsi="仿宋" w:eastAsia="仿宋" w:cs="仿宋"/>
              </w:rPr>
              <w:t>1.21</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r>
              <w:rPr>
                <w:rFonts w:hint="eastAsia" w:ascii="仿宋" w:hAnsi="仿宋" w:eastAsia="仿宋" w:cs="仿宋"/>
              </w:rPr>
              <w:t>2.67</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r>
              <w:rPr>
                <w:rFonts w:hint="eastAsia" w:ascii="仿宋" w:hAnsi="仿宋" w:eastAsia="仿宋" w:cs="仿宋"/>
              </w:rPr>
              <w:t>10.50</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r>
              <w:rPr>
                <w:rFonts w:hint="eastAsia" w:ascii="仿宋" w:hAnsi="仿宋" w:eastAsia="仿宋" w:cs="仿宋"/>
              </w:rPr>
              <w:t>0.83</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r>
              <w:rPr>
                <w:rFonts w:hint="eastAsia" w:ascii="仿宋" w:hAnsi="仿宋" w:eastAsia="仿宋" w:cs="仿宋"/>
              </w:rPr>
              <w:t>13.40</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r>
              <w:rPr>
                <w:rFonts w:hint="eastAsia" w:ascii="仿宋" w:hAnsi="仿宋" w:eastAsia="仿宋" w:cs="仿宋"/>
              </w:rPr>
              <w:t>0.90</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r>
              <w:rPr>
                <w:rFonts w:hint="eastAsia" w:ascii="仿宋" w:hAnsi="仿宋" w:eastAsia="仿宋" w:cs="仿宋"/>
              </w:rPr>
              <w:t>0.55</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r>
              <w:rPr>
                <w:rFonts w:hint="eastAsia" w:ascii="仿宋" w:hAnsi="仿宋" w:eastAsia="仿宋" w:cs="仿宋"/>
              </w:rPr>
              <w:t>0.55</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bl>
    <w:p>
      <w:pPr>
        <w:spacing w:before="25"/>
        <w:ind w:right="-92" w:rightChars="-42"/>
        <w:jc w:val="both"/>
        <w:rPr>
          <w:rFonts w:hint="eastAsia" w:ascii="仿宋" w:hAnsi="仿宋" w:eastAsia="仿宋" w:cs="仿宋"/>
          <w:lang w:val="en-US"/>
        </w:rPr>
      </w:pPr>
      <w:r>
        <w:rPr>
          <w:rFonts w:hint="eastAsia" w:ascii="仿宋" w:hAnsi="仿宋" w:eastAsia="仿宋" w:cs="仿宋"/>
        </w:rPr>
        <w:t>注：“机关运行经费” 指行政单位（含参照公务员法管理的事业单位）使用</w:t>
      </w:r>
      <w:r>
        <w:rPr>
          <w:rFonts w:hint="eastAsia" w:ascii="仿宋" w:hAnsi="仿宋" w:eastAsia="仿宋" w:cs="仿宋"/>
          <w:lang w:val="en-US"/>
        </w:rPr>
        <w:t>财政拨款</w:t>
      </w:r>
      <w:r>
        <w:rPr>
          <w:rFonts w:hint="eastAsia" w:ascii="仿宋" w:hAnsi="仿宋" w:eastAsia="仿宋" w:cs="仿宋"/>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本表金额单位转换时可能存在尾数误差。</w:t>
      </w:r>
    </w:p>
    <w:p>
      <w:pPr>
        <w:tabs>
          <w:tab w:val="left" w:pos="440"/>
        </w:tabs>
        <w:spacing w:before="25"/>
        <w:ind w:left="440" w:leftChars="200"/>
        <w:jc w:val="both"/>
        <w:rPr>
          <w:rFonts w:hint="eastAsia" w:ascii="仿宋" w:hAnsi="仿宋" w:eastAsia="仿宋" w:cs="仿宋"/>
          <w:lang w:val="en-US"/>
        </w:rPr>
        <w:sectPr>
          <w:footerReference r:id="rId17" w:type="default"/>
          <w:type w:val="continuous"/>
          <w:pgSz w:w="11906" w:h="16838"/>
          <w:pgMar w:top="720" w:right="720" w:bottom="720" w:left="720" w:header="170" w:footer="280" w:gutter="0"/>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tblPrEx>
          <w:tblCellMar>
            <w:top w:w="55" w:type="dxa"/>
            <w:left w:w="55" w:type="dxa"/>
            <w:bottom w:w="55" w:type="dxa"/>
            <w:right w:w="55" w:type="dxa"/>
          </w:tblCellMar>
        </w:tblPrEx>
        <w:trPr>
          <w:trHeight w:val="333" w:hRule="atLeast"/>
        </w:trPr>
        <w:tc>
          <w:tcPr>
            <w:tcW w:w="10459" w:type="dxa"/>
            <w:gridSpan w:val="4"/>
            <w:vAlign w:val="center"/>
          </w:tcPr>
          <w:p>
            <w:pPr>
              <w:pStyle w:val="22"/>
              <w:jc w:val="center"/>
              <w:rPr>
                <w:rFonts w:hint="eastAsia" w:ascii="仿宋" w:hAnsi="仿宋" w:eastAsia="仿宋" w:cs="仿宋"/>
                <w:b/>
                <w:bCs/>
                <w:sz w:val="44"/>
                <w:szCs w:val="44"/>
              </w:rPr>
            </w:pPr>
            <w:r>
              <w:rPr>
                <w:rFonts w:hint="eastAsia"/>
                <w:b/>
                <w:bCs/>
                <w:color w:val="000000"/>
                <w:sz w:val="36"/>
                <w:szCs w:val="36"/>
                <w:lang w:eastAsia="ar-SA"/>
              </w:rPr>
              <w:t>政府采购支出决算表</w:t>
            </w:r>
          </w:p>
        </w:tc>
      </w:tr>
      <w:tr>
        <w:tblPrEx>
          <w:tblCellMar>
            <w:top w:w="55" w:type="dxa"/>
            <w:left w:w="55" w:type="dxa"/>
            <w:bottom w:w="55" w:type="dxa"/>
            <w:right w:w="55" w:type="dxa"/>
          </w:tblCellMar>
        </w:tblPrEx>
        <w:trPr>
          <w:trHeight w:val="333" w:hRule="atLeast"/>
        </w:trPr>
        <w:tc>
          <w:tcPr>
            <w:tcW w:w="4472" w:type="dxa"/>
          </w:tcPr>
          <w:p>
            <w:pPr>
              <w:pStyle w:val="22"/>
              <w:rPr>
                <w:rFonts w:hint="eastAsia" w:ascii="仿宋" w:hAnsi="仿宋" w:eastAsia="仿宋" w:cs="仿宋"/>
              </w:rPr>
            </w:pPr>
          </w:p>
        </w:tc>
        <w:tc>
          <w:tcPr>
            <w:tcW w:w="722" w:type="dxa"/>
          </w:tcPr>
          <w:p>
            <w:pPr>
              <w:pStyle w:val="22"/>
              <w:rPr>
                <w:rFonts w:hint="eastAsia" w:ascii="仿宋" w:hAnsi="仿宋" w:eastAsia="仿宋" w:cs="仿宋"/>
              </w:rPr>
            </w:pPr>
          </w:p>
        </w:tc>
        <w:tc>
          <w:tcPr>
            <w:tcW w:w="1992" w:type="dxa"/>
          </w:tcPr>
          <w:p>
            <w:pPr>
              <w:pStyle w:val="22"/>
              <w:rPr>
                <w:rFonts w:hint="eastAsia" w:ascii="仿宋" w:hAnsi="仿宋" w:eastAsia="仿宋" w:cs="仿宋"/>
              </w:rPr>
            </w:pPr>
          </w:p>
        </w:tc>
        <w:tc>
          <w:tcPr>
            <w:tcW w:w="3273" w:type="dxa"/>
            <w:vAlign w:val="center"/>
          </w:tcPr>
          <w:p>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3</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7186" w:type="dxa"/>
            <w:gridSpan w:val="3"/>
          </w:tcPr>
          <w:p>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高新区（新吴区）应急管理局（本级）</w:t>
            </w:r>
          </w:p>
        </w:tc>
        <w:tc>
          <w:tcPr>
            <w:tcW w:w="3273" w:type="dxa"/>
            <w:vAlign w:val="center"/>
          </w:tcPr>
          <w:p>
            <w:pPr>
              <w:pStyle w:val="22"/>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lang w:val="en-US"/>
              </w:rPr>
            </w:pPr>
            <w:r>
              <w:rPr>
                <w:rFonts w:ascii="仿宋" w:hAnsi="仿宋" w:eastAsia="仿宋" w:cs="仿宋"/>
                <w:u w:color="auto"/>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bl>
    <w:p>
      <w:pPr>
        <w:jc w:val="both"/>
        <w:rPr>
          <w:rFonts w:hint="eastAsia" w:ascii="仿宋" w:hAnsi="仿宋" w:eastAsia="仿宋" w:cs="仿宋"/>
          <w:lang w:val="en-US"/>
        </w:rPr>
      </w:pPr>
      <w:r>
        <w:rPr>
          <w:rFonts w:hint="eastAsia" w:ascii="仿宋" w:hAnsi="仿宋" w:eastAsia="仿宋" w:cs="仿宋"/>
        </w:rPr>
        <w:t>注：</w:t>
      </w:r>
      <w:r>
        <w:rPr>
          <w:rFonts w:hint="eastAsia" w:ascii="仿宋" w:hAnsi="仿宋" w:eastAsia="仿宋" w:cs="仿宋"/>
          <w:lang w:val="en-US"/>
        </w:rPr>
        <w:t>政府采购支出信息为单位纳入部门预算范围的各项政府采购支出情况。</w:t>
      </w:r>
    </w:p>
    <w:p>
      <w:pPr>
        <w:ind w:left="440" w:leftChars="200"/>
        <w:jc w:val="both"/>
        <w:rPr>
          <w:rFonts w:hint="eastAsia" w:ascii="仿宋" w:hAnsi="仿宋" w:eastAsia="仿宋" w:cs="仿宋"/>
          <w:lang w:val="en-US"/>
        </w:rPr>
      </w:pPr>
      <w:r>
        <w:rPr>
          <w:rFonts w:hint="eastAsia" w:ascii="仿宋" w:hAnsi="仿宋" w:eastAsia="仿宋" w:cs="仿宋"/>
        </w:rPr>
        <w:t>本</w:t>
      </w:r>
      <w:r>
        <w:rPr>
          <w:rFonts w:hint="eastAsia" w:ascii="仿宋" w:hAnsi="仿宋" w:eastAsia="仿宋" w:cs="仿宋"/>
          <w:lang w:val="en-US"/>
        </w:rPr>
        <w:t>单位</w:t>
      </w:r>
      <w:r>
        <w:rPr>
          <w:rFonts w:hint="eastAsia" w:ascii="仿宋" w:hAnsi="仿宋" w:eastAsia="仿宋" w:cs="仿宋"/>
        </w:rPr>
        <w:t>无政府采购支出决算</w:t>
      </w:r>
      <w:r>
        <w:rPr>
          <w:rFonts w:hint="eastAsia" w:ascii="仿宋" w:hAnsi="仿宋" w:eastAsia="仿宋" w:cs="仿宋"/>
          <w:lang w:val="en-US"/>
        </w:rPr>
        <w:t>，</w:t>
      </w:r>
      <w:r>
        <w:rPr>
          <w:rFonts w:hint="eastAsia" w:ascii="仿宋" w:hAnsi="仿宋" w:eastAsia="仿宋" w:cs="仿宋"/>
        </w:rPr>
        <w:t>故本表为空。</w:t>
      </w:r>
    </w:p>
    <w:p>
      <w:pPr>
        <w:ind w:left="440" w:leftChars="200"/>
        <w:jc w:val="both"/>
        <w:rPr>
          <w:rFonts w:hint="eastAsia" w:ascii="仿宋" w:hAnsi="仿宋" w:eastAsia="仿宋" w:cs="仿宋"/>
          <w:lang w:val="en-US"/>
        </w:rPr>
        <w:sectPr>
          <w:pgSz w:w="11906" w:h="16838"/>
          <w:pgMar w:top="720" w:right="720" w:bottom="720" w:left="720" w:header="170" w:footer="280" w:gutter="0"/>
          <w:pgNumType w:fmt="numberInDash"/>
          <w:cols w:space="720" w:num="1"/>
          <w:formProt w:val="0"/>
          <w:docGrid w:linePitch="100" w:charSpace="0"/>
        </w:sectPr>
      </w:pPr>
    </w:p>
    <w:p>
      <w:pPr>
        <w:pStyle w:val="5"/>
        <w:tabs>
          <w:tab w:val="left" w:pos="3077"/>
        </w:tabs>
        <w:spacing w:line="616" w:lineRule="exact"/>
        <w:rPr>
          <w:rFonts w:hint="eastAsia" w:ascii="宋体" w:hAnsi="宋体" w:eastAsia="宋体" w:cs="宋体"/>
          <w:b/>
          <w:bCs/>
          <w:color w:val="000000"/>
          <w:lang w:val="en-US" w:eastAsia="ar-SA"/>
        </w:rPr>
      </w:pPr>
      <w:r>
        <w:rPr>
          <w:rFonts w:hint="eastAsia" w:ascii="宋体" w:hAnsi="宋体" w:eastAsia="宋体" w:cs="宋体"/>
          <w:b/>
          <w:bCs/>
          <w:color w:val="000000"/>
          <w:lang w:eastAsia="ar-SA"/>
        </w:rPr>
        <w:t>第三部分</w:t>
      </w:r>
      <w:r>
        <w:rPr>
          <w:rFonts w:hint="eastAsia" w:ascii="宋体" w:hAnsi="宋体" w:eastAsia="宋体" w:cs="宋体"/>
          <w:b/>
          <w:bCs/>
          <w:color w:val="000000"/>
          <w:lang w:val="en-US"/>
        </w:rPr>
        <w:t xml:space="preserve"> </w:t>
      </w:r>
      <w:r>
        <w:rPr>
          <w:rFonts w:hint="eastAsia" w:ascii="宋体" w:hAnsi="宋体" w:eastAsia="宋体" w:cs="宋体"/>
          <w:b/>
          <w:bCs/>
          <w:color w:val="000000"/>
          <w:lang w:val="en-US" w:eastAsia="zh-CN"/>
        </w:rPr>
        <w:t>2024</w:t>
      </w:r>
      <w:r>
        <w:rPr>
          <w:rFonts w:hint="eastAsia" w:ascii="宋体" w:hAnsi="宋体" w:eastAsia="宋体" w:cs="宋体"/>
          <w:b/>
          <w:bCs/>
          <w:color w:val="000000"/>
          <w:lang w:eastAsia="ar-SA"/>
        </w:rPr>
        <w:t>年度</w:t>
      </w:r>
      <w:r>
        <w:rPr>
          <w:rFonts w:hint="eastAsia" w:ascii="宋体" w:hAnsi="宋体" w:eastAsia="宋体" w:cs="宋体"/>
          <w:b/>
          <w:bCs/>
          <w:color w:val="000000"/>
          <w:lang w:val="en-US" w:eastAsia="ar-SA"/>
        </w:rPr>
        <w:t>单位</w:t>
      </w:r>
      <w:r>
        <w:rPr>
          <w:rFonts w:hint="eastAsia" w:ascii="宋体" w:hAnsi="宋体" w:eastAsia="宋体" w:cs="宋体"/>
          <w:b/>
          <w:bCs/>
          <w:color w:val="000000"/>
          <w:lang w:eastAsia="ar-SA"/>
        </w:rPr>
        <w:t>决算情况说明</w:t>
      </w:r>
    </w:p>
    <w:p>
      <w:pPr>
        <w:pStyle w:val="8"/>
        <w:tabs>
          <w:tab w:val="left" w:pos="3864"/>
          <w:tab w:val="left" w:pos="6248"/>
          <w:tab w:val="left" w:pos="7386"/>
        </w:tabs>
        <w:spacing w:before="1" w:line="360" w:lineRule="auto"/>
        <w:ind w:left="348" w:right="420" w:firstLine="640"/>
        <w:jc w:val="both"/>
        <w:rPr>
          <w:rFonts w:hint="eastAsia" w:ascii="仿宋" w:hAnsi="仿宋" w:eastAsia="仿宋" w:cs="仿宋"/>
          <w:lang w:val="en-US"/>
        </w:rPr>
      </w:pP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一、收入支出决算总体情况说明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2024年度收入、支出决算总计1,507.11万元。与上年相比，收、支总计各增加83.52万元，增长5.87%。其中：</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（一）收入决算总计1,507.11万元。包括：</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1.本年收入决算合计1,507.11万元。与上年相比，增加83.52万元，增长5.87%，变动原因：应急管理政府性专项经费的增加。</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2.使用非财政拨款结余（含专用结余）0万元。与上年决算数相同。</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3.年初结转和结余0万元。与上年决算数相同。</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（二）支出决算总计1,507.11万元。包括：</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1.本年支出决算合计1,507.11万元。与上年相比，增加83.52万元，增长5.87%，变动原因：应急管理政府性专项经费的增加。</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2.结余分配0万元。与上年决算数相同。</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3.年末结转和结余0万元。与上年决算数相同。</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二、收入决算情况说明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本年收入决算合计1,507.11万元，其中：财政拨款收入1,507.11万元，占100%；上级补助收入0万元，占0%；财政专户管理教育收费0万元，占0%；事业收入（不含专户管理教育收费）0万元，占0%；经营收入0万元，占0%；附属单位上缴收入0万元，占0%；其他收入0万元，占0%。</w:t>
      </w:r>
    </w:p>
    <w:p>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drawing>
          <wp:inline distT="0" distB="0" distL="0" distR="0">
            <wp:extent cx="6134100" cy="3429000"/>
            <wp:effectExtent l="0" t="0" r="0" b="0"/>
            <wp:docPr id="14" name="Drawing 14"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Drawing 14" descr="Generated"/>
                    <pic:cNvPicPr>
                      <a:picLocks noChangeAspect="1"/>
                    </pic:cNvPicPr>
                  </pic:nvPicPr>
                  <pic:blipFill>
                    <a:blip r:embed="rId19"/>
                    <a:stretch>
                      <a:fillRect/>
                    </a:stretch>
                  </pic:blipFill>
                  <pic:spPr>
                    <a:xfrm>
                      <a:off x="0" y="0"/>
                      <a:ext cx="6134100" cy="3429000"/>
                    </a:xfrm>
                    <a:prstGeom prst="rect">
                      <a:avLst/>
                    </a:prstGeom>
                  </pic:spPr>
                </pic:pic>
              </a:graphicData>
            </a:graphic>
          </wp:inline>
        </w:drawing>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三、支出决算情况说明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2024年度本年支出决算合计1,507.11万元，其中：基本支出1,017.17万元，占67.49%；项目支出489.94万元，占32.51%；上缴上级支出0万元，占0%；经营支出0万元，占0%；对附属单位补助支出0万元，占0%。</w:t>
      </w:r>
    </w:p>
    <w:p>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drawing>
          <wp:inline distT="0" distB="0" distL="0" distR="0">
            <wp:extent cx="6134100" cy="3429000"/>
            <wp:effectExtent l="0" t="0" r="0" b="0"/>
            <wp:docPr id="15" name="Drawing 15"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Drawing 15" descr="Generated"/>
                    <pic:cNvPicPr>
                      <a:picLocks noChangeAspect="1"/>
                    </pic:cNvPicPr>
                  </pic:nvPicPr>
                  <pic:blipFill>
                    <a:blip r:embed="rId20"/>
                    <a:stretch>
                      <a:fillRect/>
                    </a:stretch>
                  </pic:blipFill>
                  <pic:spPr>
                    <a:xfrm>
                      <a:off x="0" y="0"/>
                      <a:ext cx="6134100" cy="3429000"/>
                    </a:xfrm>
                    <a:prstGeom prst="rect">
                      <a:avLst/>
                    </a:prstGeom>
                  </pic:spPr>
                </pic:pic>
              </a:graphicData>
            </a:graphic>
          </wp:inline>
        </w:drawing>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四、财政拨款收入支出决算总体情况说明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2024年度财政拨款收入、支出决算总计1,507.11万元。与上年相比，收、支总计各增加83.52万元，增长5.87%，变动原因：应急管理政府性专项经费的增加。</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五、财政拨款支出决算情况说明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2024年度财政拨款支出决算1,507.11万元，占本年支出合计的100%。与2024年度财政拨款支出年初预算1,474.38万元相比，完成年初预算的102.22%。其中：</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（一）社会保障和就业支出（类）</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行政事业单位养老支出（款）机关事业单位基本养老保险缴费支出（项）。年初预算56.82万元，支出决算55.97万元，完成年初预算的98.5%。决算数与年初预算数的差异原因：本年度有人员退休以及机关事业单位基本养老保险缴费基数调整。</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行政事业单位养老支出（款）机关事业单位职业年金缴费支出（项）。年初预算28.41万元，支出决算27.98万元，完成年初预算的98.49%。决算数与年初预算数的差异原因：本年度有人员退休以及机关事业单位职业年金缴费基数调整。</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（二）卫生健康支出（类）</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行政事业单位医疗（款）行政单位医疗（项）。年初预算25.77万元，支出决算23.09万元，完成年初预算的89.6%。决算数与年初预算数的差异原因：本年度有人员退休以及行政单位医疗基数调整。</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（三）住房保障支出（类）</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1.住房改革支出（款）住房公积金（项）。年初预算54.44万元，支出决算55.08万元，完成年初预算的101.18%。决算数与年初预算数的差异原因：住房公积金缴费基数增高。</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2.住房改革支出（款）提租补贴（项）。年初预算82.71万元，支出决算88.42万元，完成年初预算的106.9%。决算数与年初预算数的差异原因：退休人员提租补贴基数增高。</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3.住房改革支出（款）购房补贴（项）。年初预算47.15万元，支出决算53.09万元，完成年初预算的112.6%。决算数与年初预算数的差异原因：购房补贴缴费基数增加。</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（四）灾害防治及应急管理支出（类）</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1.应急管理事务（款）行政运行（项）。年初预算552.08万元，支出决算713.54万元，完成年初预算的129.25%。决算数与年初预算数的差异原因：医疗、养老、公积金等缴费基数的增加。</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应急管理事务（款）应急管理（项）。年初预算627万元，支出决算489.94万元，完成年初预算的78.14%。决算数与年初预算数的差异原因：自然灾害风险普查尾款未完成验收延期支付，防汛防旱未使用，预备金砍减。</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六、财政拨款基本支出决算情况说明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2024年度财政拨款基本支出决算1,017.17万元，其中：</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u w:color="auto"/>
        </w:rPr>
        <w:t>（一）人员经费969.04万元。</w:t>
      </w:r>
      <w:r>
        <w:rPr>
          <w:rFonts w:ascii="仿宋" w:hAnsi="仿宋" w:eastAsia="仿宋" w:cs="仿宋"/>
          <w:u w:color="auto"/>
        </w:rPr>
        <w:t>主要包括：基本工资、津贴补贴、奖金、机关事业单位基本养老保险缴费、职业年金缴费、职工基本医疗保险缴费、其他社会保障缴费、住房公积金、其他工资福利支出、退休费、奖励金、其他对个人和家庭的补助。</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u w:color="auto"/>
        </w:rPr>
        <w:t>（二）公用经费48.14万元。</w:t>
      </w:r>
      <w:r>
        <w:rPr>
          <w:rFonts w:ascii="仿宋" w:hAnsi="仿宋" w:eastAsia="仿宋" w:cs="仿宋"/>
          <w:u w:color="auto"/>
        </w:rPr>
        <w:t>主要包括：办公费、印刷费、邮电费、差旅费、会议费、培训费、公务接待费、工会经费、福利费、其他交通费用、其他商品和服务支出、办公设备购置。</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七、一般公共预算支出决算情况说明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2024年度一般公共预算财政拨款支出决算1,507.11万元。与上年相比，增加83.52万元，增长5.87%，变动原因：应急管理政府性专项经费的增加。</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八、一般公共预算基本支出决算情况说明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2024年度一般公共预算财政拨款基本支出决算1,017.17万元，其中：</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u w:color="auto"/>
        </w:rPr>
        <w:t>（一）人员经费969.04万元。</w:t>
      </w:r>
      <w:r>
        <w:rPr>
          <w:rFonts w:ascii="仿宋" w:hAnsi="仿宋" w:eastAsia="仿宋" w:cs="仿宋"/>
          <w:u w:color="auto"/>
        </w:rPr>
        <w:t>主要包括：基本工资、津贴补贴、奖金、机关事业单位基本养老保险缴费、职业年金缴费、职工基本医疗保险缴费、其他社会保障缴费、住房公积金、其他工资福利支出、退休费、奖励金、其他对个人和家庭的补助。</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u w:color="auto"/>
        </w:rPr>
        <w:t>（二）公用经费48.14万元。</w:t>
      </w:r>
      <w:r>
        <w:rPr>
          <w:rFonts w:ascii="仿宋" w:hAnsi="仿宋" w:eastAsia="仿宋" w:cs="仿宋"/>
          <w:u w:color="auto"/>
        </w:rPr>
        <w:t>主要包括：办公费、印刷费、邮电费、差旅费、会议费、培训费、公务接待费、工会经费、福利费、其他交通费用、其他商品和服务支出、办公设备购置。</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九、财政拨款“三公”经费、会议费、培训费支出情况说明</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（一）财政拨款“三公”经费支出总体情况说明。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三公”经费支出决算2.67万元（其中：一般公共预算支出2.67万元；政府性基金预算支出0万元；国有资本经营预算支出0万元）。与上年相比，增加0.01万元，变动原因：厉行节约，“三公”经费支出只减不增。其中，因公出国（境）费支出0万元，占“三公”经费的0%；公务用车购置及运行维护费支出0万元，占“三公”经费的0%；公务接待费支出2.67万元，占“三公”经费的100%。2024年度财政拨款“三公”经费支出预算2.67万元（其中：一般公共预算支出2.67万元；政府性基金预算支出0万元；国有资本经营预算支出0万元）。</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（二）财政拨款“三公”经费支出具体情况说明。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因公出国（境）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全年使用财政拨款涉及的出国（境）团组0个，累计0人次。</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公务用车购置及运行维护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（1）公务用车购置支出决算0万元。本年度使用财政拨款购置公务用车0辆。</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公务用车运行维护费支出决算0万元。公务用车运行维护费主要用于按规定保留的公务用车的燃料费、维修费、过桥过路费、保险费、安全奖励费用等支出。截至2024年12月31日，使用财政拨款开支的公务用车保有量为0辆。</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公务接待费支出预算2.67万元（其中：一般公共预算支出2.67万元；政府性基金预算支出0万元；国有资本经营预算支出0万元），支出决算2.67万元（其中：一般公共预算支出2.67万元；政府性基金预算支出0万元；国有资本经营预算支出0万元），完成调整后预算的100%，决算数与预算数相同。其中：国内公务接待支出2.67万元，接待30批次，300人次，开支内容：生产督导检查调研、安全交叉检查、市对区开展督导检查；国（境）外公务接待支出0万元，接待0批次，0人次。</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（三）财政拨款会议费支出决算情况说明。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会议费支出预算0.64万元（其中：一般公共预算支出0.64万元；政府性基金预算支出0万元；国有资本经营预算支出0万元），支出决算0.64万元（其中：一般公共预算支出0.64万元；政府性基金预算支出0万元；国有资本经营预算支出0万元），完成调整后预算的100%，决算数与预算数相同。2024年度全年召开会议30个，参加会议300人次，开支内容：无锡市及其他区对我区开展督导检查、赴我局开展学习调研、省厅关于中小企业整治提升和重大隐患排查整治暗查暗访。</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（四）财政拨款培训费支出决算情况说明。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培训费支出预算7.48万元（其中：一般公共预算支出7.48万元；政府性基金预算支出0万元；国有资本经营预算支出0万元），支出决算6.99万元（其中：一般公共预算支出6.99万元；政府性基金预算支出0万元；国有资本经营预算支出0万元），完成调整后预算的93.45%，决算数与预算数的差异原因：由于厉行节约，压缩培训经费，因此决算数小于预算数。2024年度全年组织培训2个，组织培训200人次，开支内容：安全生产管理人员业务培训以及公务员任职培训、在编人员业务培训。</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十、政府性基金预算财政拨款支出决算情况说明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2024年度政府性基金预算财政拨款支出决算0万元。与上年决算数相同。</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十一、国有资本经营预算财政拨款支出决算情况说明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2024年度国有资本经营预算财政拨款支出决算0万元。与上年决算数相同。</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十二、财政拨款机关运行经费支出决算情况说明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机关运行经费支出决算48.14万元（其中：一般公共预算支出48.14万元；政府性基金预算支出0万元；国有资本经营预算支出0万元）。与上年相比，增加3.64万元，增长8.18%，变动原因：调入人员结算以前年度公务交通费用以及充分利用可支配机关运行经费。</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十三、政府采购支出决算情况说明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2024年度政府采购支出总额0万元，其中：政府采购货物支出0万元、政府采购工程支出0万元、政府采购服务支出0万元。政府采购授予中小企业合同金额0万元，其中：授予小微企业合同金额0万元。</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十四、国有资产占用情况说明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截至2024年12月31日，本单位共有车辆0辆，其中：副部(省)级及以上领导用车0辆、主要领导干部用车0辆、机要通信用车0辆、应急保障用车0辆、执法执勤用车0辆、特种专业技术用车0辆、离退休干部用车0辆、其他用车0辆；单价100万元（含）以上的设备0台（套）。</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十五、预算绩效评价工作开展情况</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2024年度，本单位共0个项目开展了财政重点绩效评价，涉及财政性资金合计0万元；本单位未开展单位整体支出财政重点绩效评价，涉及财政性资金0万元。</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本单位共对上年度已实施完成的1个项目开展了绩效自评价，涉及财政性资金合计489.94万元；本单位共开展1项单位整体支出绩效自评价，涉及财政性资金合计1,507.11万元。</w:t>
      </w:r>
    </w:p>
    <w:p>
      <w:pPr>
        <w:pStyle w:val="5"/>
        <w:tabs>
          <w:tab w:val="left" w:pos="3077"/>
        </w:tabs>
        <w:spacing w:line="616" w:lineRule="exact"/>
        <w:rPr>
          <w:rFonts w:hint="eastAsia" w:ascii="宋体" w:hAnsi="宋体" w:eastAsia="宋体" w:cs="宋体"/>
          <w:b/>
          <w:bCs/>
        </w:rPr>
      </w:pPr>
      <w:r>
        <w:rPr>
          <w:rFonts w:hint="eastAsia" w:ascii="宋体" w:hAnsi="宋体" w:eastAsia="宋体" w:cs="宋体"/>
          <w:b/>
          <w:bCs/>
        </w:rPr>
        <w:t>第四部分 名词</w:t>
      </w:r>
      <w:r>
        <w:rPr>
          <w:rFonts w:hint="eastAsia" w:ascii="宋体" w:hAnsi="宋体" w:eastAsia="宋体" w:cs="宋体"/>
          <w:b/>
          <w:bCs/>
          <w:color w:val="000000"/>
          <w:lang w:eastAsia="ar-SA"/>
        </w:rPr>
        <w:t>解释</w:t>
      </w:r>
    </w:p>
    <w:p>
      <w:pPr>
        <w:pStyle w:val="8"/>
        <w:tabs>
          <w:tab w:val="left" w:pos="3864"/>
          <w:tab w:val="left" w:pos="6248"/>
          <w:tab w:val="left" w:pos="7386"/>
        </w:tabs>
        <w:ind w:left="440" w:leftChars="200" w:firstLine="659" w:firstLineChars="206"/>
        <w:jc w:val="both"/>
        <w:rPr>
          <w:rFonts w:hint="eastAsia" w:ascii="仿宋" w:hAnsi="仿宋" w:eastAsia="仿宋" w:cs="仿宋"/>
        </w:rPr>
      </w:pP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一、财政拨款收入</w:t>
      </w:r>
      <w:r>
        <w:rPr>
          <w:rFonts w:ascii="仿宋" w:hAnsi="仿宋" w:eastAsia="仿宋" w:cs="仿宋"/>
          <w:b/>
          <w:u w:color="auto"/>
        </w:rPr>
        <w:t>：</w:t>
      </w:r>
      <w:r>
        <w:rPr>
          <w:rFonts w:hint="eastAsia" w:ascii="仿宋" w:hAnsi="仿宋" w:eastAsia="仿宋" w:cs="仿宋"/>
        </w:rPr>
        <w:t>指单位从同级财政部门取得的各类财政拨款，包括一般公共预算财政拨款、政府性基金预算财政拨款、国有资本经营预算财政拨款。</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二、上级补助收入</w:t>
      </w:r>
      <w:r>
        <w:rPr>
          <w:rFonts w:ascii="仿宋" w:hAnsi="仿宋" w:eastAsia="仿宋" w:cs="仿宋"/>
          <w:b/>
          <w:u w:color="auto"/>
        </w:rPr>
        <w:t>：</w:t>
      </w:r>
      <w:r>
        <w:rPr>
          <w:rFonts w:hint="eastAsia" w:ascii="仿宋" w:hAnsi="仿宋" w:eastAsia="仿宋" w:cs="仿宋"/>
        </w:rPr>
        <w:t>指事业单位从主管部门和上级单位取得的非财政补助收入。</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三、财政专户管理教育收费</w:t>
      </w:r>
      <w:r>
        <w:rPr>
          <w:rFonts w:ascii="仿宋" w:hAnsi="仿宋" w:eastAsia="仿宋" w:cs="仿宋"/>
          <w:b/>
          <w:u w:color="auto"/>
        </w:rPr>
        <w:t>：</w:t>
      </w:r>
      <w:r>
        <w:rPr>
          <w:rFonts w:hint="eastAsia" w:ascii="仿宋" w:hAnsi="仿宋" w:eastAsia="仿宋" w:cs="仿宋"/>
        </w:rPr>
        <w:t>指缴入财政专户、实行专项管理的高中以上学费、住宿费、高校委托培养费、函大、电大、夜大及短训班培训费等教育收费。</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四、事业收入</w:t>
      </w:r>
      <w:r>
        <w:rPr>
          <w:rFonts w:ascii="仿宋" w:hAnsi="仿宋" w:eastAsia="仿宋" w:cs="仿宋"/>
          <w:b/>
          <w:u w:color="auto"/>
        </w:rPr>
        <w:t>：</w:t>
      </w:r>
      <w:r>
        <w:rPr>
          <w:rFonts w:hint="eastAsia" w:ascii="仿宋" w:hAnsi="仿宋" w:eastAsia="仿宋" w:cs="仿宋"/>
        </w:rPr>
        <w:t>指事业单位开展专业业务活动及其辅助活动取得的收入。</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五、经营收入</w:t>
      </w:r>
      <w:r>
        <w:rPr>
          <w:rFonts w:ascii="仿宋" w:hAnsi="仿宋" w:eastAsia="仿宋" w:cs="仿宋"/>
          <w:b/>
          <w:u w:color="auto"/>
        </w:rPr>
        <w:t>：</w:t>
      </w:r>
      <w:r>
        <w:rPr>
          <w:rFonts w:hint="eastAsia" w:ascii="仿宋" w:hAnsi="仿宋" w:eastAsia="仿宋" w:cs="仿宋"/>
        </w:rPr>
        <w:t>指事业单位在专业业务活动及其辅助活动之外开展非独立核算经营活动取得的收入。</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六、附属单位上缴收入</w:t>
      </w:r>
      <w:r>
        <w:rPr>
          <w:rFonts w:ascii="仿宋" w:hAnsi="仿宋" w:eastAsia="仿宋" w:cs="仿宋"/>
          <w:b/>
          <w:u w:color="auto"/>
        </w:rPr>
        <w:t>：</w:t>
      </w:r>
      <w:r>
        <w:rPr>
          <w:rFonts w:hint="eastAsia" w:ascii="仿宋" w:hAnsi="仿宋" w:eastAsia="仿宋" w:cs="仿宋"/>
        </w:rPr>
        <w:t>指事业单位附属独立核算单位按照有关规定上缴的收入。</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七、其他收入</w:t>
      </w:r>
      <w:r>
        <w:rPr>
          <w:rFonts w:ascii="仿宋" w:hAnsi="仿宋" w:eastAsia="仿宋" w:cs="仿宋"/>
          <w:b/>
          <w:u w:color="auto"/>
        </w:rPr>
        <w:t>：</w:t>
      </w:r>
      <w:r>
        <w:rPr>
          <w:rFonts w:hint="eastAsia" w:ascii="仿宋" w:hAnsi="仿宋" w:eastAsia="仿宋" w:cs="仿宋"/>
        </w:rPr>
        <w:t>指单位取得的除上述“财政拨款收入”、 “上级补助收入”、“事业收入”、“经营收入”、“附属单位上缴收入”等以外的各项收入。</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八、使用非财政拨款结余（含专用结余）</w:t>
      </w:r>
      <w:r>
        <w:rPr>
          <w:rFonts w:ascii="仿宋" w:hAnsi="仿宋" w:eastAsia="仿宋" w:cs="仿宋"/>
          <w:b/>
          <w:u w:color="auto"/>
        </w:rPr>
        <w:t>：</w:t>
      </w:r>
      <w:r>
        <w:rPr>
          <w:rFonts w:hint="eastAsia" w:ascii="仿宋" w:hAnsi="仿宋" w:eastAsia="仿宋" w:cs="仿宋"/>
        </w:rPr>
        <w:t>指事业单位按照预算管理要求使用非财政拨款结余（含专用结余）弥补当年收支差额的数额。</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九、年初结转和结余</w:t>
      </w:r>
      <w:r>
        <w:rPr>
          <w:rFonts w:ascii="仿宋" w:hAnsi="仿宋" w:eastAsia="仿宋" w:cs="仿宋"/>
          <w:b/>
          <w:u w:color="auto"/>
        </w:rPr>
        <w:t>：</w:t>
      </w:r>
      <w:r>
        <w:rPr>
          <w:rFonts w:hint="eastAsia" w:ascii="仿宋" w:hAnsi="仿宋" w:eastAsia="仿宋" w:cs="仿宋"/>
        </w:rPr>
        <w:t>指单位上年结转本年使用的基本支出结转、项目支出结转和结余、经营结余。</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十、结余分配</w:t>
      </w:r>
      <w:r>
        <w:rPr>
          <w:rFonts w:ascii="仿宋" w:hAnsi="仿宋" w:eastAsia="仿宋" w:cs="仿宋"/>
          <w:b/>
          <w:u w:color="auto"/>
        </w:rPr>
        <w:t>：</w:t>
      </w:r>
      <w:r>
        <w:rPr>
          <w:rFonts w:hint="eastAsia" w:ascii="仿宋" w:hAnsi="仿宋" w:eastAsia="仿宋" w:cs="仿宋"/>
        </w:rPr>
        <w:t>指事业单位按规定缴纳的所得税以及从非财政拨款结余中提取各类结余的情况。</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十一、年末结转和结余资金</w:t>
      </w:r>
      <w:r>
        <w:rPr>
          <w:rFonts w:ascii="仿宋" w:hAnsi="仿宋" w:eastAsia="仿宋" w:cs="仿宋"/>
          <w:b/>
          <w:u w:color="auto"/>
        </w:rPr>
        <w:t>：</w:t>
      </w:r>
      <w:r>
        <w:rPr>
          <w:rFonts w:hint="eastAsia" w:ascii="仿宋" w:hAnsi="仿宋" w:eastAsia="仿宋" w:cs="仿宋"/>
        </w:rPr>
        <w:t>指单位结转下年的基本支出结转、项目支出结转和结余、经营结余。</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十二、基本支出</w:t>
      </w:r>
      <w:r>
        <w:rPr>
          <w:rFonts w:ascii="仿宋" w:hAnsi="仿宋" w:eastAsia="仿宋" w:cs="仿宋"/>
          <w:b/>
          <w:u w:color="auto"/>
        </w:rPr>
        <w:t>：</w:t>
      </w:r>
      <w:r>
        <w:rPr>
          <w:rFonts w:hint="eastAsia" w:ascii="仿宋" w:hAnsi="仿宋" w:eastAsia="仿宋" w:cs="仿宋"/>
        </w:rPr>
        <w:t>指为保障机构正常运转、完成日常工作任务所发生的支出，包括人员经费和公用经费。</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十三、项目支出</w:t>
      </w:r>
      <w:r>
        <w:rPr>
          <w:rFonts w:ascii="仿宋" w:hAnsi="仿宋" w:eastAsia="仿宋" w:cs="仿宋"/>
          <w:b/>
          <w:u w:color="auto"/>
        </w:rPr>
        <w:t>：</w:t>
      </w:r>
      <w:r>
        <w:rPr>
          <w:rFonts w:hint="eastAsia" w:ascii="仿宋" w:hAnsi="仿宋" w:eastAsia="仿宋" w:cs="仿宋"/>
        </w:rPr>
        <w:t>指在为完成特定的工作任务和事业发展目标所发生的支出。</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十四、上缴上级支出</w:t>
      </w:r>
      <w:r>
        <w:rPr>
          <w:rFonts w:ascii="仿宋" w:hAnsi="仿宋" w:eastAsia="仿宋" w:cs="仿宋"/>
          <w:b/>
          <w:u w:color="auto"/>
        </w:rPr>
        <w:t>：</w:t>
      </w:r>
      <w:r>
        <w:rPr>
          <w:rFonts w:hint="eastAsia" w:ascii="仿宋" w:hAnsi="仿宋" w:eastAsia="仿宋" w:cs="仿宋"/>
        </w:rPr>
        <w:t>指事业单位按照财政部门和主管部门的规定上缴上级单位的支出。</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十五、经营支出</w:t>
      </w:r>
      <w:r>
        <w:rPr>
          <w:rFonts w:ascii="仿宋" w:hAnsi="仿宋" w:eastAsia="仿宋" w:cs="仿宋"/>
          <w:b/>
          <w:u w:color="auto"/>
        </w:rPr>
        <w:t>：</w:t>
      </w:r>
      <w:r>
        <w:rPr>
          <w:rFonts w:hint="eastAsia" w:ascii="仿宋" w:hAnsi="仿宋" w:eastAsia="仿宋" w:cs="仿宋"/>
        </w:rPr>
        <w:t>指事业单位在专业业务活动及其辅助活动之外开展非独立核算经营活动发生的支出。</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十六、对附属单位补助支出</w:t>
      </w:r>
      <w:r>
        <w:rPr>
          <w:rFonts w:ascii="仿宋" w:hAnsi="仿宋" w:eastAsia="仿宋" w:cs="仿宋"/>
          <w:b/>
          <w:u w:color="auto"/>
        </w:rPr>
        <w:t>：</w:t>
      </w:r>
      <w:r>
        <w:rPr>
          <w:rFonts w:hint="eastAsia" w:ascii="仿宋" w:hAnsi="仿宋" w:eastAsia="仿宋" w:cs="仿宋"/>
        </w:rPr>
        <w:t>指事业单位用财政拨款收入之外的收入对附属单位补助发生的支出。</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十七、“三公”经费</w:t>
      </w:r>
      <w:r>
        <w:rPr>
          <w:rFonts w:ascii="仿宋" w:hAnsi="仿宋" w:eastAsia="仿宋" w:cs="仿宋"/>
          <w:b/>
          <w:u w:color="auto"/>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十八、机关运行经费</w:t>
      </w:r>
      <w:r>
        <w:rPr>
          <w:rFonts w:ascii="仿宋" w:hAnsi="仿宋" w:eastAsia="仿宋" w:cs="仿宋"/>
          <w:b/>
          <w:u w:color="auto"/>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十九、社会保障和就业支出(类)行政事业单位养老支出(款)机关事业单位基本养老保险缴费支出(项)</w:t>
      </w:r>
      <w:r>
        <w:rPr>
          <w:rFonts w:ascii="仿宋" w:hAnsi="仿宋" w:eastAsia="仿宋" w:cs="仿宋"/>
          <w:b/>
          <w:u w:color="auto"/>
        </w:rPr>
        <w:t>：</w:t>
      </w:r>
      <w:r>
        <w:rPr>
          <w:rFonts w:hint="eastAsia" w:ascii="仿宋" w:hAnsi="仿宋" w:eastAsia="仿宋" w:cs="仿宋"/>
        </w:rPr>
        <w:t>反映机关事业单位实施养老保险制度由单位缴纳的基本养老保险费支出。</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二十、社会保障和就业支出(类)行政事业单位养老支出(款)机关事业单位职业年金缴费支出(项)</w:t>
      </w:r>
      <w:r>
        <w:rPr>
          <w:rFonts w:ascii="仿宋" w:hAnsi="仿宋" w:eastAsia="仿宋" w:cs="仿宋"/>
          <w:b/>
          <w:u w:color="auto"/>
        </w:rPr>
        <w:t>：</w:t>
      </w:r>
      <w:r>
        <w:rPr>
          <w:rFonts w:hint="eastAsia" w:ascii="仿宋" w:hAnsi="仿宋" w:eastAsia="仿宋" w:cs="仿宋"/>
        </w:rPr>
        <w:t>反映机关事业单位实施养老保险制度由单位实际缴纳的职业年金支出。(含职业年金补记支出。）</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二十一、卫生健康支出(类)行政事业单位医疗(款)行政单位医疗(项)</w:t>
      </w:r>
      <w:r>
        <w:rPr>
          <w:rFonts w:ascii="仿宋" w:hAnsi="仿宋" w:eastAsia="仿宋" w:cs="仿宋"/>
          <w:b/>
          <w:u w:color="auto"/>
        </w:rPr>
        <w:t>：</w:t>
      </w:r>
      <w:r>
        <w:rPr>
          <w:rFonts w:hint="eastAsia" w:ascii="仿宋" w:hAnsi="仿宋" w:eastAsia="仿宋" w:cs="仿宋"/>
        </w:rPr>
        <w:t>反映财政部门安排的行政单位（包括实行公务员管理的事业单位，下同）基本医疗保险缴费经费，未参加医疗保险的行政单位的公费医疗经费，按国家规定享受离休人员、红军老战士待遇人员的医疗经费。</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二十二、住房保障支出(类)住房改革支出(款)住房公积金(项)</w:t>
      </w:r>
      <w:r>
        <w:rPr>
          <w:rFonts w:ascii="仿宋" w:hAnsi="仿宋" w:eastAsia="仿宋" w:cs="仿宋"/>
          <w:b/>
          <w:u w:color="auto"/>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二十三、住房保障支出(类)住房改革支出(款)提租补贴(项)</w:t>
      </w:r>
      <w:r>
        <w:rPr>
          <w:rFonts w:ascii="仿宋" w:hAnsi="仿宋" w:eastAsia="仿宋" w:cs="仿宋"/>
          <w:b/>
          <w:u w:color="auto"/>
        </w:rPr>
        <w:t>：</w:t>
      </w:r>
      <w:r>
        <w:rPr>
          <w:rFonts w:hint="eastAsia" w:ascii="仿宋" w:hAnsi="仿宋" w:eastAsia="仿宋" w:cs="仿宋"/>
        </w:rPr>
        <w:t>反映按房改政策规定的标准，行政事业单位向职工（含离退休人员）发放的租金补贴。</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二十四、住房保障支出(类)住房改革支出(款)购房补贴(项)</w:t>
      </w:r>
      <w:r>
        <w:rPr>
          <w:rFonts w:ascii="仿宋" w:hAnsi="仿宋" w:eastAsia="仿宋" w:cs="仿宋"/>
          <w:b/>
          <w:u w:color="auto"/>
        </w:rPr>
        <w:t>：</w:t>
      </w:r>
      <w:r>
        <w:rPr>
          <w:rFonts w:hint="eastAsia" w:ascii="仿宋" w:hAnsi="仿宋" w:eastAsia="仿宋" w:cs="仿宋"/>
        </w:rPr>
        <w:t>反映按房改政策规定，行政事业单位向符合条件职工（含离退休人员）、军队(含武警)向转役复员离退休人员发放的用于购买住房的补贴。</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二十五、灾害防治及应急管理支出(类)应急管理事务(款)行政运行(项)</w:t>
      </w:r>
      <w:r>
        <w:rPr>
          <w:rFonts w:ascii="仿宋" w:hAnsi="仿宋" w:eastAsia="仿宋" w:cs="仿宋"/>
          <w:b/>
          <w:u w:color="auto"/>
        </w:rPr>
        <w:t>：</w:t>
      </w:r>
      <w:r>
        <w:rPr>
          <w:rFonts w:hint="eastAsia" w:ascii="仿宋" w:hAnsi="仿宋" w:eastAsia="仿宋" w:cs="仿宋"/>
        </w:rPr>
        <w:t>反映行政单位（包括实行公务员管理的事业单位）的基本支出。</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二十六、灾害防治及应急管理支出(类)应急管理事务(款)应急管理(项)</w:t>
      </w:r>
      <w:r>
        <w:rPr>
          <w:rFonts w:ascii="仿宋" w:hAnsi="仿宋" w:eastAsia="仿宋" w:cs="仿宋"/>
          <w:b/>
          <w:u w:color="auto"/>
        </w:rPr>
        <w:t>：</w:t>
      </w:r>
      <w:r>
        <w:rPr>
          <w:rFonts w:hint="eastAsia" w:ascii="仿宋" w:hAnsi="仿宋" w:eastAsia="仿宋" w:cs="仿宋"/>
        </w:rPr>
        <w:t>反应用于应急管理的法律法规制定修订，应急预案演练、协调保障等方面的支出。</w:t>
      </w:r>
    </w:p>
    <w:sectPr>
      <w:pgSz w:w="11906" w:h="16838"/>
      <w:pgMar w:top="1440" w:right="1080" w:bottom="1440" w:left="1080" w:header="170" w:footer="280" w:gutter="0"/>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roman"/>
    <w:pitch w:val="default"/>
    <w:sig w:usb0="FFFFFFFF" w:usb1="E9FFFFFF" w:usb2="0000003F" w:usb3="00000000" w:csb0="603F01FF" w:csb1="FFFF0000"/>
  </w:font>
  <w:font w:name="Liberation Sans">
    <w:altName w:val="宋体"/>
    <w:panose1 w:val="00000000000000000000"/>
    <w:charset w:val="86"/>
    <w:family w:val="roman"/>
    <w:pitch w:val="default"/>
    <w:sig w:usb0="00000000" w:usb1="00000000" w:usb2="00000021" w:usb3="00000000" w:csb0="600001BF" w:csb1="DFF70000"/>
  </w:font>
  <w:font w:name="Liberation Mono">
    <w:altName w:val="宋体"/>
    <w:panose1 w:val="00000000000000000000"/>
    <w:charset w:val="86"/>
    <w:family w:val="roman"/>
    <w:pitch w:val="default"/>
    <w:sig w:usb0="00000000" w:usb1="00000000" w:usb2="00000001" w:usb3="00000000" w:csb0="600001BF" w:csb1="DFF7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HxgFczAEAAJwDAAAOAAAAAAAAAAEAIAAAAB4BAABkcnMvZTJv&#10;RG9jLnhtbFBLBQYAAAAABgAGAFkBAABcBQAAAAA=&#10;">
              <v:fill on="f" focussize="0,0"/>
              <v:stroke on="f"/>
              <v:imagedata o:title=""/>
              <o:lock v:ext="edit" aspectratio="f"/>
              <v:textbox inset="0mm,0mm,0mm,0mm" style="mso-fit-shape-to-text:t;">
                <w:txbxContent>
                  <w:p>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wrap="none" lIns="0" tIns="0" rIns="0" bIns="0" upright="1">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yLd7XLAQAAnAMAAA4AAAAAAAAAAQAgAAAAHgEAAGRycy9lMm9E&#10;b2MueG1sUEsFBgAAAAAGAAYAWQEAAFsFAAAAAA==&#10;">
              <v:fill on="f" focussize="0,0"/>
              <v:stroke on="f"/>
              <v:imagedata o:title=""/>
              <o:lock v:ext="edit" aspectratio="f"/>
              <v:textbox inset="0mm,0mm,0mm,0mm" style="mso-fit-shape-to-text:t;">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rPr>
        <w:rFonts w:hint="eastAsi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wrap="none" lIns="0" tIns="0" rIns="0" bIns="0" upright="1">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D49AR3LAQAAnAMAAA4AAAAAAAAAAQAgAAAAHgEAAGRycy9lMm9E&#10;b2MueG1sUEsFBgAAAAAGAAYAWQEAAFsFAAAAAA==&#10;">
              <v:fill on="f" focussize="0,0"/>
              <v:stroke on="f"/>
              <v:imagedata o:title=""/>
              <o:lock v:ext="edit" aspectratio="f"/>
              <v:textbox inset="0mm,0mm,0mm,0mm" style="mso-fit-shape-to-text:t;">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rPr>
        <w:rFonts w:hint="eastAsi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ngSRnLAQAAnAMAAA4AAAAAAAAAAQAgAAAAHgEAAGRycy9lMm9E&#10;b2MueG1sUEsFBgAAAAAGAAYAWQEAAFsFAAAAAA==&#10;">
              <v:fill on="f" focussize="0,0"/>
              <v:stroke on="f"/>
              <v:imagedata o:title=""/>
              <o:lock v:ext="edit" aspectratio="f"/>
              <v:textbox inset="0mm,0mm,0mm,0mm" style="mso-fit-shape-to-text:t;">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rPr>
        <w:rFonts w:hint="eastAsi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rMQq7LAQAAnAMAAA4AAAAAAAAAAQAgAAAAHgEAAGRycy9lMm9E&#10;b2MueG1sUEsFBgAAAAAGAAYAWQEAAFsFAAAAAA==&#10;">
              <v:fill on="f" focussize="0,0"/>
              <v:stroke on="f"/>
              <v:imagedata o:title=""/>
              <o:lock v:ext="edit" aspectratio="f"/>
              <v:textbox inset="0mm,0mm,0mm,0mm" style="mso-fit-shape-to-text:t;">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IDB2RjLAQAAnAMAAA4AAAAAAAAAAQAgAAAAHgEAAGRycy9lMm9E&#10;b2MueG1sUEsFBgAAAAAGAAYAWQEAAFsFAAAAAA==&#10;">
              <v:fill on="f" focussize="0,0"/>
              <v:stroke on="f"/>
              <v:imagedata o:title=""/>
              <o:lock v:ext="edit" aspectratio="f"/>
              <v:textbox inset="0mm,0mm,0mm,0mm" style="mso-fit-shape-to-text:t;">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2bII3yQEAAJwDAAAOAAAAAAAAAAEAIAAAAB4BAABkcnMvZTJvRG9j&#10;LnhtbFBLBQYAAAAABgAGAFkBAABZBQAAAAA=&#10;">
              <v:fill on="f" focussize="0,0"/>
              <v:stroke on="f"/>
              <v:imagedata o:title=""/>
              <o:lock v:ext="edit" aspectratio="f"/>
              <v:textbox inset="0mm,0mm,0mm,0mm" style="mso-fit-shape-to-text:t;">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rPr>
        <w:rFonts w:hint="eastAsia"/>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upright="1">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D8YRmBzAEAAJwDAAAOAAAAAAAAAAEAIAAAAB4BAABkcnMvZTJv&#10;RG9jLnhtbFBLBQYAAAAABgAGAFkBAABcBQAAAAA=&#10;">
              <v:fill on="f" focussize="0,0"/>
              <v:stroke on="f"/>
              <v:imagedata o:title=""/>
              <o:lock v:ext="edit" aspectratio="f"/>
              <v:textbox inset="0mm,0mm,0mm,0mm" style="mso-fit-shape-to-text:t;">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rPr>
        <w:rFonts w:hint="eastAsia"/>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RFbMcsBAACdAwAADgAAAGRycy9lMm9Eb2MueG1srVPNjtMwEL4j8Q6W&#10;79RpkVAVNV3tqlqEhABp4QFcx24s+U8et0lfAN6AExfuPFefg7GTdGG57IFLMp6ZfPN93zi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m4CWOG5x45fv3y4/fl1+fiXL&#10;6vUqW9QHqLHzIWBvGu78gO1zHjCZlQ8q2vxGTQTriHa+GiyHRET+aL1aryssCazNB8Rnj5+HCOmt&#10;9JbkoKERN1iM5af3kMbWuSVPc/5eG1O2aNxfCcTMGZa5jxxzlIb9MAna+/aMenpcfkMd3nVKzDuH&#10;3iK/NAdxDvZzcAxRHzqktiy8INweE5Io3PKEEXYajFsr6qYblq/Fn+fS9fhX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N0RWzHLAQAAnQMAAA4AAAAAAAAAAQAgAAAAHgEAAGRycy9lMm9E&#10;b2MueG1sUEsFBgAAAAAGAAYAWQEAAFsFAAAAAA==&#10;">
              <v:fill on="f" focussize="0,0"/>
              <v:stroke on="f"/>
              <v:imagedata o:title=""/>
              <o:lock v:ext="edit" aspectratio="f"/>
              <v:textbox inset="0mm,0mm,0mm,0mm" style="mso-fit-shape-to-text:t;">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rPr>
        <w:rFonts w:hint="eastAsia"/>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HMCHzAEAAJ0DAAAOAAAAAAAAAAEAIAAAAB4BAABkcnMvZTJv&#10;RG9jLnhtbFBLBQYAAAAABgAGAFkBAABcBQAAAAA=&#10;">
              <v:fill on="f" focussize="0,0"/>
              <v:stroke on="f"/>
              <v:imagedata o:title=""/>
              <o:lock v:ext="edit" aspectratio="f"/>
              <v:textbox inset="0mm,0mm,0mm,0mm" style="mso-fit-shape-to-text:t;">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rPr>
        <w:rFonts w:hint="eastAsia"/>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wps:txbx>
                    <wps:bodyPr wrap="none" lIns="0" tIns="0" rIns="0" bIns="0" upright="1">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AwYUerLAQAAnQMAAA4AAAAAAAAAAQAgAAAAHgEAAGRycy9lMm9E&#10;b2MueG1sUEsFBgAAAAAGAAYAWQEAAFsFAAAAAA==&#10;">
              <v:fill on="f" focussize="0,0"/>
              <v:stroke on="f"/>
              <v:imagedata o:title=""/>
              <o:lock v:ext="edit" aspectratio="f"/>
              <v:textbox inset="0mm,0mm,0mm,0mm" style="mso-fit-shape-to-text:t;">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rPr>
        <w:rFonts w:hint="eastAsia"/>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wrap="none" lIns="0" tIns="0" rIns="0" bIns="0" upright="1">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DLbE7wzAEAAJ0DAAAOAAAAAAAAAAEAIAAAAB4BAABkcnMvZTJv&#10;RG9jLnhtbFBLBQYAAAAABgAGAFkBAABcBQAAAAA=&#10;">
              <v:fill on="f" focussize="0,0"/>
              <v:stroke on="f"/>
              <v:imagedata o:title=""/>
              <o:lock v:ext="edit" aspectratio="f"/>
              <v:textbox inset="0mm,0mm,0mm,0mm" style="mso-fit-shape-to-text:t;">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eastAsia"/>
        <w:lang w:val="en-US"/>
      </w:rPr>
    </w:pPr>
    <w:r>
      <w:rPr>
        <w:rFonts w:hint="eastAsia"/>
        <w:lang w:val="en-US"/>
      </w:rPr>
      <w:t>高新区（新吴区）应急管理局（本级）</w:t>
    </w:r>
    <w:r>
      <w:rPr>
        <w:rFonts w:hint="eastAsia"/>
        <w:lang w:val="en-US" w:eastAsia="zh-CN"/>
      </w:rPr>
      <w:t>2024</w:t>
    </w:r>
    <w:r>
      <w:rPr>
        <w:rFonts w:hint="eastAsia"/>
        <w:lang w:val="en-US"/>
      </w:rPr>
      <w:t>年度</w:t>
    </w:r>
    <w:r>
      <w:rPr>
        <w:u w:color="auto"/>
      </w:rPr>
      <w:t>单位决算公开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0"/>
  <w:autoHyphenation/>
  <w:noPunctuationKerning w:val="1"/>
  <w:characterSpacingControl w:val="doNotCompress"/>
  <w:hdrShapeDefaults>
    <o:shapelayout v:ext="edit">
      <o:idmap v:ext="edit" data="1,3"/>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hZDYyZDRkNjBlM2JhZTAwNWZjYTM1ZGFmNGQwMjEifQ=="/>
  </w:docVars>
  <w:rsids>
    <w:rsidRoot w:val="006E012F"/>
    <w:rsid w:val="00042122"/>
    <w:rsid w:val="00064984"/>
    <w:rsid w:val="00071789"/>
    <w:rsid w:val="000C024B"/>
    <w:rsid w:val="000F12AB"/>
    <w:rsid w:val="001C31F9"/>
    <w:rsid w:val="001D7787"/>
    <w:rsid w:val="002E63B1"/>
    <w:rsid w:val="00407CA7"/>
    <w:rsid w:val="00413AD8"/>
    <w:rsid w:val="004743E0"/>
    <w:rsid w:val="004C0647"/>
    <w:rsid w:val="00671ED7"/>
    <w:rsid w:val="00672164"/>
    <w:rsid w:val="006732F1"/>
    <w:rsid w:val="006E012F"/>
    <w:rsid w:val="007C0F2D"/>
    <w:rsid w:val="008322BB"/>
    <w:rsid w:val="00867423"/>
    <w:rsid w:val="008B5B05"/>
    <w:rsid w:val="009965EA"/>
    <w:rsid w:val="00A6752E"/>
    <w:rsid w:val="00B92181"/>
    <w:rsid w:val="00BD7F33"/>
    <w:rsid w:val="00C15920"/>
    <w:rsid w:val="00C82582"/>
    <w:rsid w:val="00CF349C"/>
    <w:rsid w:val="00FA3233"/>
    <w:rsid w:val="010F1E77"/>
    <w:rsid w:val="01330F56"/>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06489"/>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529C1"/>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B7405"/>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61EBB"/>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8C4C00"/>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ind w:left="-40"/>
      <w:outlineLvl w:val="0"/>
    </w:pPr>
    <w:rPr>
      <w:sz w:val="52"/>
      <w:szCs w:val="52"/>
    </w:rPr>
  </w:style>
  <w:style w:type="paragraph" w:styleId="3">
    <w:name w:val="heading 2"/>
    <w:basedOn w:val="1"/>
    <w:next w:val="1"/>
    <w:qFormat/>
    <w:uiPriority w:val="1"/>
    <w:pPr>
      <w:ind w:right="18"/>
      <w:jc w:val="center"/>
      <w:outlineLvl w:val="1"/>
    </w:pPr>
    <w:rPr>
      <w:sz w:val="44"/>
      <w:szCs w:val="44"/>
    </w:rPr>
  </w:style>
  <w:style w:type="paragraph" w:styleId="4">
    <w:name w:val="heading 3"/>
    <w:basedOn w:val="1"/>
    <w:next w:val="1"/>
    <w:qFormat/>
    <w:uiPriority w:val="1"/>
    <w:pPr>
      <w:ind w:left="1"/>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outlineLvl w:val="4"/>
    </w:pPr>
    <w:rPr>
      <w:sz w:val="33"/>
      <w:szCs w:val="33"/>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列表段落1"/>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1.xml"/><Relationship Id="rId20" Type="http://schemas.openxmlformats.org/officeDocument/2006/relationships/image" Target="media/image2.png"/><Relationship Id="rId2" Type="http://schemas.openxmlformats.org/officeDocument/2006/relationships/settings" Target="settings.xml"/><Relationship Id="rId19" Type="http://schemas.openxmlformats.org/officeDocument/2006/relationships/image" Target="media/image1.png"/><Relationship Id="rId18" Type="http://schemas.openxmlformats.org/officeDocument/2006/relationships/theme" Target="theme/theme1.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443</Words>
  <Characters>1567</Characters>
  <Lines>58</Lines>
  <Paragraphs>16</Paragraphs>
  <TotalTime>22</TotalTime>
  <ScaleCrop>false</ScaleCrop>
  <LinksUpToDate>false</LinksUpToDate>
  <CharactersWithSpaces>1574</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2021-04-16T03:22:00Z</dcterms:created>
  <dc:creator>陈长军(本处室套红)</dc:creator>
  <cp:lastModifiedBy>BooM~~~€</cp:lastModifiedBy>
  <dcterms:modified xsi:type="dcterms:W3CDTF">2025-09-22T06:42:58Z</dcterms:modified>
  <dc:title>部门决算公开</dc:title>
  <cp:revision>177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0D675BE110E3441692AD76CD545E3125_13</vt:lpwstr>
  </property>
  <property fmtid="{D5CDD505-2E9C-101B-9397-08002B2CF9AE}" pid="5" name="KSOProductBuildVer">
    <vt:lpwstr>2052-12.1.0.15120</vt:lpwstr>
  </property>
  <property fmtid="{D5CDD505-2E9C-101B-9397-08002B2CF9AE}" pid="6" name="LastSaved">
    <vt:filetime>2021-04-15T00:00:00Z</vt:filetime>
  </property>
  <property fmtid="{D5CDD505-2E9C-101B-9397-08002B2CF9AE}" pid="7" name="KSOTemplateDocerSaveRecord">
    <vt:lpwstr>eyJoZGlkIjoiODM5ZWJjZGI4ZjI3OTI1NThiNGI5MDJhMjg2MWRmMjIiLCJ1c2VySWQiOiIyNzcxMjA5MjIifQ==</vt:lpwstr>
  </property>
</Properties>
</file>