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E23BC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rPr>
      </w:pPr>
      <w:r>
        <w:rPr>
          <w:rFonts w:hint="eastAsia" w:ascii="方正小标宋简体" w:hAnsi="方正小标宋简体" w:eastAsia="方正小标宋简体" w:cs="方正小标宋简体"/>
          <w:sz w:val="44"/>
          <w:szCs w:val="44"/>
          <w:lang w:val="en-US" w:eastAsia="zh-CN"/>
        </w:rPr>
        <w:t>涉企行政执法重点事项提示</w:t>
      </w:r>
      <w:r>
        <w:rPr>
          <w:rFonts w:hint="eastAsia" w:ascii="方正小标宋简体" w:hAnsi="方正小标宋简体" w:eastAsia="方正小标宋简体" w:cs="方正小标宋简体"/>
          <w:sz w:val="44"/>
          <w:szCs w:val="44"/>
        </w:rPr>
        <w:t>清单</w:t>
      </w:r>
    </w:p>
    <w:p w14:paraId="443AC972">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仿宋_GBK" w:hAnsi="方正仿宋_GBK" w:eastAsia="方正仿宋_GBK" w:cs="方正仿宋_GBK"/>
          <w:sz w:val="32"/>
          <w:szCs w:val="32"/>
        </w:rPr>
      </w:pPr>
    </w:p>
    <w:p w14:paraId="282B7B86">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为进一步</w:t>
      </w:r>
      <w:r>
        <w:rPr>
          <w:rFonts w:hint="eastAsia" w:ascii="方正仿宋_GBK" w:hAnsi="方正仿宋_GBK" w:eastAsia="方正仿宋_GBK" w:cs="方正仿宋_GBK"/>
          <w:sz w:val="32"/>
          <w:szCs w:val="32"/>
          <w:lang w:val="en-US" w:eastAsia="zh-CN"/>
        </w:rPr>
        <w:t>推动营商环境和应急管理工作双向融合</w:t>
      </w:r>
      <w:r>
        <w:rPr>
          <w:rFonts w:hint="eastAsia" w:ascii="方正仿宋_GBK" w:hAnsi="方正仿宋_GBK" w:eastAsia="方正仿宋_GBK" w:cs="方正仿宋_GBK"/>
          <w:sz w:val="32"/>
          <w:szCs w:val="32"/>
        </w:rPr>
        <w:t>，指导企业快速、简明、准确地排查行政处罚风险点，熟悉与安全生产密切相关的法律法规规定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区</w:t>
      </w:r>
      <w:r>
        <w:rPr>
          <w:rFonts w:hint="eastAsia" w:ascii="方正仿宋_GBK" w:hAnsi="方正仿宋_GBK" w:eastAsia="方正仿宋_GBK" w:cs="方正仿宋_GBK"/>
          <w:sz w:val="32"/>
          <w:szCs w:val="32"/>
        </w:rPr>
        <w:t>应急管理局针对</w:t>
      </w:r>
      <w:r>
        <w:rPr>
          <w:rFonts w:hint="default" w:ascii="方正仿宋_GBK" w:hAnsi="方正仿宋_GBK" w:eastAsia="方正仿宋_GBK" w:cs="方正仿宋_GBK"/>
          <w:sz w:val="32"/>
          <w:szCs w:val="32"/>
          <w:lang w:val="en-US" w:eastAsia="zh-CN"/>
        </w:rPr>
        <w:t>近</w:t>
      </w:r>
      <w:r>
        <w:rPr>
          <w:rFonts w:hint="default" w:ascii="Times New Roman" w:hAnsi="Times New Roman" w:eastAsia="方正仿宋_GBK" w:cs="Times New Roman"/>
          <w:sz w:val="32"/>
          <w:szCs w:val="32"/>
          <w:lang w:val="en-US" w:eastAsia="zh-CN"/>
        </w:rPr>
        <w:t>3年</w:t>
      </w:r>
      <w:r>
        <w:rPr>
          <w:rFonts w:hint="default" w:ascii="方正仿宋_GBK" w:hAnsi="方正仿宋_GBK" w:eastAsia="方正仿宋_GBK" w:cs="方正仿宋_GBK"/>
          <w:sz w:val="32"/>
          <w:szCs w:val="32"/>
          <w:lang w:val="en-US" w:eastAsia="zh-CN"/>
        </w:rPr>
        <w:t>来</w:t>
      </w:r>
      <w:r>
        <w:rPr>
          <w:rFonts w:hint="eastAsia" w:ascii="方正仿宋_GBK" w:hAnsi="方正仿宋_GBK" w:eastAsia="方正仿宋_GBK" w:cs="方正仿宋_GBK"/>
          <w:sz w:val="32"/>
          <w:szCs w:val="32"/>
          <w:lang w:val="en-US" w:eastAsia="zh-CN"/>
        </w:rPr>
        <w:t>，全区</w:t>
      </w:r>
      <w:r>
        <w:rPr>
          <w:rFonts w:hint="eastAsia" w:ascii="方正仿宋_GBK" w:hAnsi="方正仿宋_GBK" w:eastAsia="方正仿宋_GBK" w:cs="方正仿宋_GBK"/>
          <w:sz w:val="32"/>
          <w:szCs w:val="32"/>
        </w:rPr>
        <w:t>安全生产领域高频多发</w:t>
      </w:r>
      <w:r>
        <w:rPr>
          <w:rFonts w:hint="eastAsia" w:ascii="方正仿宋_GBK" w:hAnsi="方正仿宋_GBK" w:eastAsia="方正仿宋_GBK" w:cs="方正仿宋_GBK"/>
          <w:sz w:val="32"/>
          <w:szCs w:val="32"/>
          <w:lang w:val="en-US" w:eastAsia="zh-CN"/>
        </w:rPr>
        <w:t>的</w:t>
      </w:r>
      <w:r>
        <w:rPr>
          <w:rFonts w:hint="eastAsia" w:ascii="方正仿宋_GBK" w:hAnsi="方正仿宋_GBK" w:eastAsia="方正仿宋_GBK" w:cs="方正仿宋_GBK"/>
          <w:sz w:val="32"/>
          <w:szCs w:val="32"/>
        </w:rPr>
        <w:t>违法行为，</w:t>
      </w:r>
      <w:r>
        <w:rPr>
          <w:rFonts w:hint="eastAsia" w:ascii="方正仿宋_GBK" w:hAnsi="方正仿宋_GBK" w:eastAsia="方正仿宋_GBK" w:cs="方正仿宋_GBK"/>
          <w:sz w:val="32"/>
          <w:szCs w:val="32"/>
          <w:lang w:val="en-US" w:eastAsia="zh-CN"/>
        </w:rPr>
        <w:t>特</w:t>
      </w:r>
      <w:r>
        <w:rPr>
          <w:rFonts w:hint="eastAsia" w:ascii="方正仿宋_GBK" w:hAnsi="方正仿宋_GBK" w:eastAsia="方正仿宋_GBK" w:cs="方正仿宋_GBK"/>
          <w:sz w:val="32"/>
          <w:szCs w:val="32"/>
        </w:rPr>
        <w:t>编制《</w:t>
      </w:r>
      <w:r>
        <w:rPr>
          <w:rFonts w:hint="eastAsia" w:ascii="方正仿宋_GBK" w:hAnsi="方正仿宋_GBK" w:eastAsia="方正仿宋_GBK" w:cs="方正仿宋_GBK"/>
          <w:sz w:val="32"/>
          <w:szCs w:val="32"/>
          <w:lang w:val="en-US" w:eastAsia="zh-CN"/>
        </w:rPr>
        <w:t>涉企行政执法重点事项提示</w:t>
      </w:r>
      <w:r>
        <w:rPr>
          <w:rFonts w:hint="eastAsia" w:ascii="方正仿宋_GBK" w:hAnsi="方正仿宋_GBK" w:eastAsia="方正仿宋_GBK" w:cs="方正仿宋_GBK"/>
          <w:sz w:val="32"/>
          <w:szCs w:val="32"/>
        </w:rPr>
        <w:t>清单》</w:t>
      </w:r>
      <w:r>
        <w:rPr>
          <w:rFonts w:hint="eastAsia" w:ascii="方正仿宋_GBK" w:hAnsi="方正仿宋_GBK" w:eastAsia="方正仿宋_GBK" w:cs="方正仿宋_GBK"/>
          <w:sz w:val="32"/>
          <w:szCs w:val="32"/>
          <w:lang w:eastAsia="zh-CN"/>
        </w:rPr>
        <w:t>，请</w:t>
      </w:r>
      <w:r>
        <w:rPr>
          <w:rFonts w:hint="eastAsia" w:ascii="方正仿宋_GBK" w:hAnsi="方正仿宋_GBK" w:eastAsia="方正仿宋_GBK" w:cs="方正仿宋_GBK"/>
          <w:sz w:val="32"/>
          <w:szCs w:val="32"/>
          <w:lang w:val="en-US" w:eastAsia="zh-CN"/>
        </w:rPr>
        <w:t>各</w:t>
      </w:r>
      <w:r>
        <w:rPr>
          <w:rFonts w:hint="eastAsia" w:ascii="方正仿宋_GBK" w:hAnsi="方正仿宋_GBK" w:eastAsia="方正仿宋_GBK" w:cs="方正仿宋_GBK"/>
          <w:sz w:val="32"/>
          <w:szCs w:val="32"/>
          <w:lang w:eastAsia="zh-CN"/>
        </w:rPr>
        <w:t>企业</w:t>
      </w:r>
      <w:r>
        <w:rPr>
          <w:rFonts w:hint="eastAsia" w:ascii="方正仿宋_GBK" w:hAnsi="方正仿宋_GBK" w:eastAsia="方正仿宋_GBK" w:cs="方正仿宋_GBK"/>
          <w:sz w:val="32"/>
          <w:szCs w:val="32"/>
          <w:lang w:val="en-US" w:eastAsia="zh-CN"/>
        </w:rPr>
        <w:t>主动对照，</w:t>
      </w:r>
      <w:r>
        <w:rPr>
          <w:rFonts w:hint="eastAsia" w:ascii="方正仿宋_GBK" w:hAnsi="方正仿宋_GBK" w:eastAsia="方正仿宋_GBK" w:cs="方正仿宋_GBK"/>
          <w:sz w:val="32"/>
          <w:szCs w:val="32"/>
          <w:lang w:eastAsia="zh-CN"/>
        </w:rPr>
        <w:t>认真开展较大以上安全风险辨识，针对性制订相应管理制度</w:t>
      </w:r>
      <w:r>
        <w:rPr>
          <w:rFonts w:hint="eastAsia" w:ascii="方正仿宋_GBK" w:hAnsi="方正仿宋_GBK" w:eastAsia="方正仿宋_GBK" w:cs="方正仿宋_GBK"/>
          <w:sz w:val="32"/>
          <w:szCs w:val="32"/>
          <w:lang w:val="en-US" w:eastAsia="zh-CN"/>
        </w:rPr>
        <w:t>及</w:t>
      </w:r>
      <w:r>
        <w:rPr>
          <w:rFonts w:hint="eastAsia" w:ascii="方正仿宋_GBK" w:hAnsi="方正仿宋_GBK" w:eastAsia="方正仿宋_GBK" w:cs="方正仿宋_GBK"/>
          <w:sz w:val="32"/>
          <w:szCs w:val="32"/>
          <w:lang w:eastAsia="zh-CN"/>
        </w:rPr>
        <w:t>管控措施，</w:t>
      </w:r>
      <w:r>
        <w:rPr>
          <w:rFonts w:hint="eastAsia" w:ascii="方正仿宋_GBK" w:hAnsi="方正仿宋_GBK" w:eastAsia="方正仿宋_GBK" w:cs="方正仿宋_GBK"/>
          <w:sz w:val="32"/>
          <w:szCs w:val="32"/>
          <w:lang w:val="en-US" w:eastAsia="zh-CN"/>
        </w:rPr>
        <w:t>积极</w:t>
      </w:r>
      <w:r>
        <w:rPr>
          <w:rFonts w:hint="eastAsia" w:ascii="方正仿宋_GBK" w:hAnsi="方正仿宋_GBK" w:eastAsia="方正仿宋_GBK" w:cs="方正仿宋_GBK"/>
          <w:sz w:val="32"/>
          <w:szCs w:val="32"/>
          <w:lang w:eastAsia="zh-CN"/>
        </w:rPr>
        <w:t>开展日常隐患排查整治，</w:t>
      </w:r>
      <w:r>
        <w:rPr>
          <w:rFonts w:hint="eastAsia" w:ascii="方正仿宋_GBK" w:hAnsi="方正仿宋_GBK" w:eastAsia="方正仿宋_GBK" w:cs="方正仿宋_GBK"/>
          <w:sz w:val="32"/>
          <w:szCs w:val="32"/>
          <w:lang w:val="en-US" w:eastAsia="zh-CN"/>
        </w:rPr>
        <w:t>全面</w:t>
      </w:r>
      <w:r>
        <w:rPr>
          <w:rFonts w:hint="eastAsia" w:ascii="方正仿宋_GBK" w:hAnsi="方正仿宋_GBK" w:eastAsia="方正仿宋_GBK" w:cs="方正仿宋_GBK"/>
          <w:sz w:val="32"/>
          <w:szCs w:val="32"/>
          <w:lang w:eastAsia="zh-CN"/>
        </w:rPr>
        <w:t>做好安全生产合规建设。</w:t>
      </w:r>
    </w:p>
    <w:tbl>
      <w:tblPr>
        <w:tblStyle w:val="5"/>
        <w:tblpPr w:leftFromText="180" w:rightFromText="180" w:vertAnchor="text" w:horzAnchor="page" w:tblpX="1791" w:tblpY="310"/>
        <w:tblOverlap w:val="never"/>
        <w:tblW w:w="131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986"/>
        <w:gridCol w:w="3319"/>
        <w:gridCol w:w="3195"/>
        <w:gridCol w:w="1605"/>
        <w:gridCol w:w="3015"/>
      </w:tblGrid>
      <w:tr w14:paraId="775CA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986" w:type="dxa"/>
            <w:shd w:val="clear" w:color="auto" w:fill="auto"/>
            <w:vAlign w:val="center"/>
          </w:tcPr>
          <w:p w14:paraId="223894A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kern w:val="2"/>
                <w:sz w:val="32"/>
                <w:szCs w:val="32"/>
                <w:vertAlign w:val="baseline"/>
                <w:lang w:val="en-US" w:eastAsia="zh-CN" w:bidi="ar-SA"/>
              </w:rPr>
            </w:pPr>
            <w:r>
              <w:rPr>
                <w:rFonts w:hint="eastAsia" w:ascii="方正黑体_GBK" w:hAnsi="方正黑体_GBK" w:eastAsia="方正黑体_GBK" w:cs="方正黑体_GBK"/>
                <w:sz w:val="32"/>
                <w:szCs w:val="32"/>
                <w:vertAlign w:val="baseline"/>
                <w:lang w:val="en-US" w:eastAsia="zh-CN"/>
              </w:rPr>
              <w:t>序号</w:t>
            </w:r>
          </w:p>
        </w:tc>
        <w:tc>
          <w:tcPr>
            <w:tcW w:w="986" w:type="dxa"/>
            <w:vAlign w:val="center"/>
          </w:tcPr>
          <w:p w14:paraId="044B3B0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行业</w:t>
            </w:r>
          </w:p>
        </w:tc>
        <w:tc>
          <w:tcPr>
            <w:tcW w:w="3319" w:type="dxa"/>
            <w:vAlign w:val="center"/>
          </w:tcPr>
          <w:p w14:paraId="6EEE7E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常见现场隐患类型</w:t>
            </w:r>
          </w:p>
        </w:tc>
        <w:tc>
          <w:tcPr>
            <w:tcW w:w="3195" w:type="dxa"/>
            <w:vAlign w:val="center"/>
          </w:tcPr>
          <w:p w14:paraId="669813F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法律依据</w:t>
            </w:r>
          </w:p>
        </w:tc>
        <w:tc>
          <w:tcPr>
            <w:tcW w:w="1605" w:type="dxa"/>
            <w:vAlign w:val="center"/>
          </w:tcPr>
          <w:p w14:paraId="4E6356F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黑体_GBK" w:hAnsi="方正黑体_GBK" w:eastAsia="方正黑体_GBK" w:cs="方正黑体_GBK"/>
                <w:sz w:val="32"/>
                <w:szCs w:val="32"/>
                <w:vertAlign w:val="baseline"/>
              </w:rPr>
            </w:pPr>
            <w:r>
              <w:rPr>
                <w:rFonts w:hint="eastAsia" w:ascii="方正黑体_GBK" w:hAnsi="方正黑体_GBK" w:eastAsia="方正黑体_GBK" w:cs="方正黑体_GBK"/>
                <w:sz w:val="32"/>
                <w:szCs w:val="32"/>
                <w:vertAlign w:val="baseline"/>
                <w:lang w:val="en-US" w:eastAsia="zh-CN"/>
              </w:rPr>
              <w:t>发生频率</w:t>
            </w:r>
          </w:p>
        </w:tc>
        <w:tc>
          <w:tcPr>
            <w:tcW w:w="3015" w:type="dxa"/>
            <w:vAlign w:val="center"/>
          </w:tcPr>
          <w:p w14:paraId="4CE1047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黑体_GBK" w:hAnsi="方正黑体_GBK" w:eastAsia="方正黑体_GBK" w:cs="方正黑体_GBK"/>
                <w:sz w:val="32"/>
                <w:szCs w:val="32"/>
                <w:highlight w:val="yellow"/>
                <w:vertAlign w:val="baseline"/>
                <w:lang w:val="en-US" w:eastAsia="zh-CN"/>
              </w:rPr>
            </w:pPr>
            <w:r>
              <w:rPr>
                <w:rFonts w:hint="eastAsia" w:ascii="方正黑体_GBK" w:hAnsi="方正黑体_GBK" w:eastAsia="方正黑体_GBK" w:cs="方正黑体_GBK"/>
                <w:sz w:val="32"/>
                <w:szCs w:val="32"/>
                <w:vertAlign w:val="baseline"/>
                <w:lang w:val="en-US" w:eastAsia="zh-CN"/>
              </w:rPr>
              <w:t>提醒建议</w:t>
            </w:r>
          </w:p>
        </w:tc>
      </w:tr>
      <w:tr w14:paraId="5F212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6" w:type="dxa"/>
            <w:shd w:val="clear" w:color="auto" w:fill="auto"/>
            <w:vAlign w:val="center"/>
          </w:tcPr>
          <w:p w14:paraId="609A8C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kern w:val="2"/>
                <w:sz w:val="32"/>
                <w:szCs w:val="32"/>
                <w:vertAlign w:val="baseline"/>
                <w:lang w:val="en-US" w:eastAsia="zh-CN" w:bidi="ar-SA"/>
              </w:rPr>
            </w:pPr>
            <w:r>
              <w:rPr>
                <w:rFonts w:hint="default" w:ascii="Times New Roman" w:hAnsi="Times New Roman" w:eastAsia="方正仿宋_GBK" w:cs="Times New Roman"/>
                <w:sz w:val="32"/>
                <w:szCs w:val="32"/>
                <w:vertAlign w:val="baseline"/>
                <w:lang w:val="en-US" w:eastAsia="zh-CN"/>
              </w:rPr>
              <w:t>1</w:t>
            </w:r>
          </w:p>
        </w:tc>
        <w:tc>
          <w:tcPr>
            <w:tcW w:w="986" w:type="dxa"/>
            <w:vAlign w:val="center"/>
          </w:tcPr>
          <w:p w14:paraId="166C3C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sz w:val="28"/>
                <w:lang w:val="en-US" w:eastAsia="zh-CN"/>
              </w:rPr>
            </w:pPr>
            <w:r>
              <w:rPr>
                <w:rFonts w:hint="eastAsia" w:ascii="Times New Roman" w:hAnsi="Times New Roman" w:eastAsia="方正仿宋_GBK"/>
                <w:sz w:val="28"/>
                <w:lang w:val="en-US" w:eastAsia="zh-CN"/>
              </w:rPr>
              <w:t>通用</w:t>
            </w:r>
          </w:p>
        </w:tc>
        <w:tc>
          <w:tcPr>
            <w:tcW w:w="3319" w:type="dxa"/>
            <w:vAlign w:val="center"/>
          </w:tcPr>
          <w:p w14:paraId="6BE2A261">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sz w:val="28"/>
                <w:lang w:val="en-US" w:eastAsia="zh-CN"/>
              </w:rPr>
            </w:pPr>
            <w:r>
              <w:rPr>
                <w:rFonts w:hint="eastAsia" w:ascii="Times New Roman" w:hAnsi="Times New Roman" w:eastAsia="方正仿宋_GBK"/>
                <w:sz w:val="28"/>
              </w:rPr>
              <w:t>特种作业人员未按照规定经专门的安全作业培训并取得相应资格，上岗作业</w:t>
            </w:r>
          </w:p>
        </w:tc>
        <w:tc>
          <w:tcPr>
            <w:tcW w:w="3195" w:type="dxa"/>
            <w:vAlign w:val="center"/>
          </w:tcPr>
          <w:p w14:paraId="5A844E42">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rPr>
            </w:pPr>
            <w:r>
              <w:rPr>
                <w:rFonts w:hint="eastAsia" w:ascii="Times New Roman" w:hAnsi="Times New Roman" w:eastAsia="方正仿宋_GBK"/>
                <w:sz w:val="28"/>
              </w:rPr>
              <w:t>《中华人民共和国安全生产法》第三十条第一款</w:t>
            </w:r>
          </w:p>
          <w:p w14:paraId="70245FF6">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sz w:val="28"/>
              </w:rPr>
            </w:pPr>
            <w:r>
              <w:rPr>
                <w:rFonts w:hint="eastAsia" w:ascii="Times New Roman" w:hAnsi="Times New Roman" w:eastAsia="方正仿宋_GBK"/>
                <w:sz w:val="28"/>
              </w:rPr>
              <w:t>《工贸企业重大事故隐患判定标准》第</w:t>
            </w:r>
            <w:r>
              <w:rPr>
                <w:rFonts w:hint="eastAsia" w:ascii="Times New Roman" w:hAnsi="Times New Roman" w:eastAsia="方正仿宋_GBK"/>
                <w:sz w:val="28"/>
                <w:lang w:val="en-US" w:eastAsia="zh-CN"/>
              </w:rPr>
              <w:t>三</w:t>
            </w:r>
            <w:r>
              <w:rPr>
                <w:rFonts w:hint="eastAsia" w:ascii="Times New Roman" w:hAnsi="Times New Roman" w:eastAsia="方正仿宋_GBK"/>
                <w:sz w:val="28"/>
              </w:rPr>
              <w:t>条第</w:t>
            </w:r>
            <w:r>
              <w:rPr>
                <w:rFonts w:hint="eastAsia" w:ascii="Times New Roman" w:hAnsi="Times New Roman" w:eastAsia="方正仿宋_GBK"/>
                <w:sz w:val="28"/>
                <w:lang w:val="en-US" w:eastAsia="zh-CN"/>
              </w:rPr>
              <w:t>二</w:t>
            </w:r>
            <w:r>
              <w:rPr>
                <w:rFonts w:hint="eastAsia" w:ascii="Times New Roman" w:hAnsi="Times New Roman" w:eastAsia="方正仿宋_GBK"/>
                <w:sz w:val="28"/>
              </w:rPr>
              <w:t>项</w:t>
            </w:r>
          </w:p>
        </w:tc>
        <w:tc>
          <w:tcPr>
            <w:tcW w:w="1605" w:type="dxa"/>
            <w:vAlign w:val="center"/>
          </w:tcPr>
          <w:p w14:paraId="1F65A24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sz w:val="28"/>
                <w:lang w:val="en-US" w:eastAsia="zh-CN"/>
              </w:rPr>
            </w:pPr>
            <w:r>
              <w:rPr>
                <w:rFonts w:hint="eastAsia" w:ascii="方正仿宋_GBK" w:hAnsi="方正仿宋_GBK" w:eastAsia="方正仿宋_GBK" w:cs="方正仿宋_GBK"/>
                <w:sz w:val="28"/>
                <w:lang w:val="en-US" w:eastAsia="zh-CN"/>
              </w:rPr>
              <w:t>★★★</w:t>
            </w:r>
          </w:p>
        </w:tc>
        <w:tc>
          <w:tcPr>
            <w:tcW w:w="3015" w:type="dxa"/>
            <w:vAlign w:val="center"/>
          </w:tcPr>
          <w:p w14:paraId="008C369A">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sz w:val="28"/>
                <w:lang w:val="en-US" w:eastAsia="zh-CN"/>
              </w:rPr>
            </w:pPr>
            <w:r>
              <w:rPr>
                <w:rFonts w:hint="eastAsia" w:ascii="Times New Roman" w:hAnsi="Times New Roman" w:eastAsia="方正仿宋_GBK"/>
                <w:sz w:val="28"/>
                <w:lang w:val="en-US" w:eastAsia="zh-CN"/>
              </w:rPr>
              <w:t>对焊接与热切割作业、电工作业、高处作业等特种作业人员证件，登录https://cx.mem.gov.cn（中华人民共和国应急管理部特种作业操作证及安全生产知识和管理能力考核合格信息查询平台）或关注微信公众号“国家安全生产考试”进行查验，并做好按期复审</w:t>
            </w:r>
          </w:p>
        </w:tc>
      </w:tr>
      <w:tr w14:paraId="37E98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2" w:hRule="atLeast"/>
        </w:trPr>
        <w:tc>
          <w:tcPr>
            <w:tcW w:w="986" w:type="dxa"/>
            <w:vAlign w:val="center"/>
          </w:tcPr>
          <w:p w14:paraId="51B3FDB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2</w:t>
            </w:r>
          </w:p>
        </w:tc>
        <w:tc>
          <w:tcPr>
            <w:tcW w:w="986" w:type="dxa"/>
            <w:vMerge w:val="restart"/>
            <w:vAlign w:val="center"/>
          </w:tcPr>
          <w:p w14:paraId="3B8DF88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sz w:val="28"/>
                <w:lang w:val="en-US" w:eastAsia="zh-CN"/>
              </w:rPr>
              <w:t>通用</w:t>
            </w:r>
          </w:p>
        </w:tc>
        <w:tc>
          <w:tcPr>
            <w:tcW w:w="3319" w:type="dxa"/>
            <w:vAlign w:val="center"/>
          </w:tcPr>
          <w:p w14:paraId="4D2040E5">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rPr>
            </w:pPr>
            <w:r>
              <w:rPr>
                <w:rFonts w:hint="eastAsia" w:ascii="Times New Roman" w:hAnsi="Times New Roman" w:eastAsia="方正仿宋_GBK"/>
                <w:sz w:val="28"/>
              </w:rPr>
              <w:t>未对承包单位、承租单位的安全生产工作统一协调、管理，或者未定期进行安全检查的</w:t>
            </w:r>
          </w:p>
        </w:tc>
        <w:tc>
          <w:tcPr>
            <w:tcW w:w="3195" w:type="dxa"/>
            <w:vAlign w:val="center"/>
          </w:tcPr>
          <w:p w14:paraId="7AC8832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eastAsia="方正仿宋_GBK"/>
                <w:sz w:val="28"/>
              </w:rPr>
            </w:pPr>
            <w:r>
              <w:rPr>
                <w:rFonts w:hint="eastAsia" w:ascii="Times New Roman" w:hAnsi="Times New Roman" w:eastAsia="方正仿宋_GBK"/>
                <w:sz w:val="28"/>
              </w:rPr>
              <w:t>《中华人民共和国安全生产法》第四十九条第二款</w:t>
            </w:r>
          </w:p>
          <w:p w14:paraId="56804971">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rPr>
            </w:pPr>
            <w:r>
              <w:rPr>
                <w:rFonts w:hint="eastAsia" w:ascii="Times New Roman" w:hAnsi="Times New Roman" w:eastAsia="方正仿宋_GBK"/>
                <w:sz w:val="28"/>
              </w:rPr>
              <w:t>《江苏省安全生产条例》第三十条第一款</w:t>
            </w:r>
          </w:p>
        </w:tc>
        <w:tc>
          <w:tcPr>
            <w:tcW w:w="1605" w:type="dxa"/>
            <w:vAlign w:val="center"/>
          </w:tcPr>
          <w:p w14:paraId="08C74F3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sz w:val="28"/>
                <w:lang w:val="en-US" w:eastAsia="zh-CN"/>
              </w:rPr>
            </w:pPr>
            <w:r>
              <w:rPr>
                <w:rFonts w:hint="eastAsia" w:ascii="方正仿宋_GBK" w:hAnsi="方正仿宋_GBK" w:eastAsia="方正仿宋_GBK" w:cs="方正仿宋_GBK"/>
                <w:sz w:val="28"/>
                <w:lang w:val="en-US" w:eastAsia="zh-CN"/>
              </w:rPr>
              <w:t>★★★</w:t>
            </w:r>
          </w:p>
        </w:tc>
        <w:tc>
          <w:tcPr>
            <w:tcW w:w="3015" w:type="dxa"/>
            <w:vAlign w:val="center"/>
          </w:tcPr>
          <w:p w14:paraId="6B88BE0C">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rPr>
            </w:pPr>
            <w:r>
              <w:rPr>
                <w:rFonts w:hint="eastAsia" w:ascii="Times New Roman" w:hAnsi="Times New Roman" w:eastAsia="方正仿宋_GBK"/>
                <w:sz w:val="28"/>
                <w:lang w:val="en-US" w:eastAsia="zh-CN"/>
              </w:rPr>
              <w:t>生产经营单位应当与</w:t>
            </w:r>
            <w:r>
              <w:rPr>
                <w:rFonts w:hint="eastAsia" w:ascii="Times New Roman" w:hAnsi="Times New Roman" w:eastAsia="方正仿宋_GBK"/>
                <w:sz w:val="28"/>
              </w:rPr>
              <w:t>承包单位、承租单位</w:t>
            </w:r>
            <w:r>
              <w:rPr>
                <w:rFonts w:hint="eastAsia" w:ascii="Times New Roman" w:hAnsi="Times New Roman" w:eastAsia="方正仿宋_GBK"/>
                <w:sz w:val="28"/>
                <w:lang w:val="en-US" w:eastAsia="zh-CN"/>
              </w:rPr>
              <w:t>签订专门的安全生产管理协议，明确各自的安全生产管理职责，并对承包、承租单位的安全生产统一协调、管理</w:t>
            </w:r>
          </w:p>
        </w:tc>
      </w:tr>
      <w:tr w14:paraId="46CF9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1" w:hRule="atLeast"/>
        </w:trPr>
        <w:tc>
          <w:tcPr>
            <w:tcW w:w="986" w:type="dxa"/>
            <w:vAlign w:val="center"/>
          </w:tcPr>
          <w:p w14:paraId="2F9185B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32"/>
                <w:szCs w:val="32"/>
                <w:vertAlign w:val="baseline"/>
                <w:lang w:val="en-US" w:eastAsia="zh-CN"/>
              </w:rPr>
            </w:pPr>
            <w:r>
              <w:rPr>
                <w:rFonts w:hint="default" w:ascii="Times New Roman" w:hAnsi="Times New Roman" w:eastAsia="方正仿宋_GBK" w:cs="Times New Roman"/>
                <w:sz w:val="32"/>
                <w:szCs w:val="32"/>
                <w:vertAlign w:val="baseline"/>
                <w:lang w:val="en-US" w:eastAsia="zh-CN"/>
              </w:rPr>
              <w:t>3</w:t>
            </w:r>
          </w:p>
        </w:tc>
        <w:tc>
          <w:tcPr>
            <w:tcW w:w="986" w:type="dxa"/>
            <w:vMerge w:val="continue"/>
            <w:vAlign w:val="center"/>
          </w:tcPr>
          <w:p w14:paraId="3E056E0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sz w:val="28"/>
                <w:lang w:val="en-US" w:eastAsia="zh-CN"/>
              </w:rPr>
            </w:pPr>
          </w:p>
        </w:tc>
        <w:tc>
          <w:tcPr>
            <w:tcW w:w="3319" w:type="dxa"/>
            <w:vAlign w:val="center"/>
          </w:tcPr>
          <w:p w14:paraId="48C3C0C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rPr>
            </w:pPr>
            <w:r>
              <w:rPr>
                <w:rFonts w:hint="eastAsia" w:ascii="Times New Roman" w:hAnsi="Times New Roman" w:eastAsia="方正仿宋_GBK"/>
                <w:sz w:val="28"/>
              </w:rPr>
              <w:t>生产经营场所和员工宿舍未设有符合紧急疏散需要、标志明显、保持畅通的出口、疏散通道，或者占用、锁闭、封堵生产经营场所或者员工宿舍出口、疏散通道的</w:t>
            </w:r>
          </w:p>
        </w:tc>
        <w:tc>
          <w:tcPr>
            <w:tcW w:w="3195" w:type="dxa"/>
            <w:vAlign w:val="center"/>
          </w:tcPr>
          <w:p w14:paraId="32143CEF">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rPr>
            </w:pPr>
            <w:r>
              <w:rPr>
                <w:rFonts w:hint="eastAsia" w:ascii="Times New Roman" w:hAnsi="Times New Roman" w:eastAsia="方正仿宋_GBK"/>
                <w:sz w:val="28"/>
              </w:rPr>
              <w:t>《中华人民共和国安全生产法》第四十二条第二款</w:t>
            </w:r>
          </w:p>
        </w:tc>
        <w:tc>
          <w:tcPr>
            <w:tcW w:w="1605" w:type="dxa"/>
            <w:vAlign w:val="center"/>
          </w:tcPr>
          <w:p w14:paraId="3A209E5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sz w:val="28"/>
                <w:lang w:val="en-US" w:eastAsia="zh-CN"/>
              </w:rPr>
            </w:pPr>
            <w:r>
              <w:rPr>
                <w:rFonts w:hint="eastAsia" w:ascii="方正仿宋_GBK" w:hAnsi="方正仿宋_GBK" w:eastAsia="方正仿宋_GBK" w:cs="方正仿宋_GBK"/>
                <w:sz w:val="28"/>
                <w:lang w:val="en-US" w:eastAsia="zh-CN"/>
              </w:rPr>
              <w:t>★★★</w:t>
            </w:r>
          </w:p>
        </w:tc>
        <w:tc>
          <w:tcPr>
            <w:tcW w:w="3015" w:type="dxa"/>
            <w:vAlign w:val="center"/>
          </w:tcPr>
          <w:p w14:paraId="2A8B2C1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lang w:val="en-US" w:eastAsia="zh-CN"/>
              </w:rPr>
            </w:pPr>
            <w:r>
              <w:rPr>
                <w:rFonts w:hint="eastAsia" w:ascii="Times New Roman" w:hAnsi="Times New Roman" w:eastAsia="方正仿宋_GBK"/>
                <w:sz w:val="28"/>
              </w:rPr>
              <w:t>生产经营场所和员工宿舍</w:t>
            </w:r>
            <w:r>
              <w:rPr>
                <w:rFonts w:hint="eastAsia" w:ascii="Times New Roman" w:hAnsi="Times New Roman" w:eastAsia="方正仿宋_GBK"/>
                <w:sz w:val="28"/>
                <w:lang w:val="en-US" w:eastAsia="zh-CN"/>
              </w:rPr>
              <w:t>应当</w:t>
            </w:r>
            <w:r>
              <w:rPr>
                <w:rFonts w:hint="eastAsia" w:ascii="Times New Roman" w:hAnsi="Times New Roman" w:eastAsia="方正仿宋_GBK"/>
                <w:sz w:val="28"/>
              </w:rPr>
              <w:t>设有符合紧急疏散</w:t>
            </w:r>
            <w:r>
              <w:rPr>
                <w:rFonts w:hint="eastAsia" w:ascii="Times New Roman" w:hAnsi="Times New Roman" w:eastAsia="方正仿宋_GBK"/>
                <w:sz w:val="28"/>
                <w:lang w:val="en-US" w:eastAsia="zh-CN"/>
              </w:rPr>
              <w:t>要求</w:t>
            </w:r>
            <w:r>
              <w:rPr>
                <w:rFonts w:hint="eastAsia" w:ascii="Times New Roman" w:hAnsi="Times New Roman" w:eastAsia="方正仿宋_GBK"/>
                <w:sz w:val="28"/>
              </w:rPr>
              <w:t>、标志明显、保持畅通的出口、疏散通道，</w:t>
            </w:r>
            <w:r>
              <w:rPr>
                <w:rFonts w:hint="eastAsia" w:ascii="Times New Roman" w:hAnsi="Times New Roman" w:eastAsia="方正仿宋_GBK"/>
                <w:sz w:val="28"/>
                <w:lang w:val="en-US" w:eastAsia="zh-CN"/>
              </w:rPr>
              <w:t>不得</w:t>
            </w:r>
            <w:r>
              <w:rPr>
                <w:rFonts w:hint="eastAsia" w:ascii="Times New Roman" w:hAnsi="Times New Roman" w:eastAsia="方正仿宋_GBK"/>
                <w:sz w:val="28"/>
              </w:rPr>
              <w:t>占用、锁闭</w:t>
            </w:r>
            <w:r>
              <w:rPr>
                <w:rFonts w:hint="eastAsia" w:ascii="Times New Roman" w:hAnsi="Times New Roman" w:eastAsia="方正仿宋_GBK"/>
                <w:sz w:val="28"/>
                <w:lang w:val="en-US" w:eastAsia="zh-CN"/>
              </w:rPr>
              <w:t>和</w:t>
            </w:r>
            <w:r>
              <w:rPr>
                <w:rFonts w:hint="eastAsia" w:ascii="Times New Roman" w:hAnsi="Times New Roman" w:eastAsia="方正仿宋_GBK"/>
                <w:sz w:val="28"/>
              </w:rPr>
              <w:t>封堵</w:t>
            </w:r>
          </w:p>
        </w:tc>
      </w:tr>
      <w:tr w14:paraId="64341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5" w:hRule="atLeast"/>
        </w:trPr>
        <w:tc>
          <w:tcPr>
            <w:tcW w:w="986" w:type="dxa"/>
            <w:vAlign w:val="center"/>
          </w:tcPr>
          <w:p w14:paraId="611BD25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4</w:t>
            </w:r>
          </w:p>
        </w:tc>
        <w:tc>
          <w:tcPr>
            <w:tcW w:w="986" w:type="dxa"/>
            <w:vMerge w:val="continue"/>
            <w:vAlign w:val="center"/>
          </w:tcPr>
          <w:p w14:paraId="1678A6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p>
        </w:tc>
        <w:tc>
          <w:tcPr>
            <w:tcW w:w="3319" w:type="dxa"/>
            <w:vAlign w:val="center"/>
          </w:tcPr>
          <w:p w14:paraId="458624E9">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cs="Times New Roman"/>
                <w:sz w:val="32"/>
                <w:szCs w:val="32"/>
                <w:vertAlign w:val="baseline"/>
              </w:rPr>
            </w:pPr>
            <w:r>
              <w:rPr>
                <w:rFonts w:hint="eastAsia" w:ascii="Times New Roman" w:hAnsi="Times New Roman" w:eastAsia="方正仿宋_GBK"/>
                <w:sz w:val="28"/>
              </w:rPr>
              <w:t>安全设备的安装、使用、检测、改造和报废不符合国家标准或者行业标准</w:t>
            </w:r>
          </w:p>
        </w:tc>
        <w:tc>
          <w:tcPr>
            <w:tcW w:w="3195" w:type="dxa"/>
            <w:vAlign w:val="center"/>
          </w:tcPr>
          <w:p w14:paraId="63D04B8D">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cs="Times New Roman"/>
                <w:sz w:val="32"/>
                <w:szCs w:val="32"/>
                <w:vertAlign w:val="baseline"/>
              </w:rPr>
            </w:pPr>
            <w:r>
              <w:rPr>
                <w:rFonts w:hint="eastAsia" w:ascii="Times New Roman" w:hAnsi="Times New Roman" w:eastAsia="方正仿宋_GBK"/>
                <w:sz w:val="28"/>
              </w:rPr>
              <w:t>《中华人民共和国安全生产法》第三十六条第一款</w:t>
            </w:r>
          </w:p>
        </w:tc>
        <w:tc>
          <w:tcPr>
            <w:tcW w:w="1605" w:type="dxa"/>
            <w:vAlign w:val="center"/>
          </w:tcPr>
          <w:p w14:paraId="7FF9BB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rPr>
            </w:pPr>
            <w:r>
              <w:rPr>
                <w:rFonts w:hint="eastAsia" w:ascii="方正仿宋_GBK" w:hAnsi="方正仿宋_GBK" w:eastAsia="方正仿宋_GBK" w:cs="方正仿宋_GBK"/>
                <w:sz w:val="28"/>
                <w:lang w:val="en-US" w:eastAsia="zh-CN"/>
              </w:rPr>
              <w:t>★★★</w:t>
            </w:r>
          </w:p>
        </w:tc>
        <w:tc>
          <w:tcPr>
            <w:tcW w:w="3015" w:type="dxa"/>
            <w:vAlign w:val="center"/>
          </w:tcPr>
          <w:p w14:paraId="654AB3A5">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cs="Times New Roman"/>
                <w:sz w:val="32"/>
                <w:szCs w:val="32"/>
                <w:vertAlign w:val="baseline"/>
                <w:lang w:val="en-US"/>
              </w:rPr>
            </w:pPr>
            <w:r>
              <w:rPr>
                <w:rFonts w:hint="eastAsia" w:ascii="Times New Roman" w:hAnsi="Times New Roman" w:eastAsia="方正仿宋_GBK"/>
                <w:sz w:val="28"/>
                <w:lang w:val="en-US" w:eastAsia="zh-CN"/>
              </w:rPr>
              <w:t>工业机器人等智能设备作业危险区应设置防护装置；外露的传动、旋转部位应设置防护装置；压力机危险区应安装使用安全装置；金属切削机床防护门应安装联锁装置等；各类传感器、报警器等应正常运行</w:t>
            </w:r>
          </w:p>
        </w:tc>
      </w:tr>
      <w:tr w14:paraId="00AEB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986" w:type="dxa"/>
            <w:shd w:val="clear" w:color="auto" w:fill="auto"/>
            <w:vAlign w:val="center"/>
          </w:tcPr>
          <w:p w14:paraId="4C67DD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5</w:t>
            </w:r>
          </w:p>
        </w:tc>
        <w:tc>
          <w:tcPr>
            <w:tcW w:w="986" w:type="dxa"/>
            <w:vMerge w:val="restart"/>
            <w:shd w:val="clear" w:color="auto" w:fill="auto"/>
            <w:vAlign w:val="center"/>
          </w:tcPr>
          <w:p w14:paraId="0A77F10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kern w:val="2"/>
                <w:sz w:val="32"/>
                <w:szCs w:val="32"/>
                <w:vertAlign w:val="baseline"/>
                <w:lang w:val="en-US" w:eastAsia="zh-CN" w:bidi="ar-SA"/>
              </w:rPr>
            </w:pPr>
            <w:r>
              <w:rPr>
                <w:rFonts w:hint="eastAsia" w:ascii="Times New Roman" w:hAnsi="Times New Roman" w:eastAsia="方正仿宋_GBK"/>
                <w:sz w:val="28"/>
                <w:lang w:val="en-US" w:eastAsia="zh-CN"/>
              </w:rPr>
              <w:t>通用</w:t>
            </w:r>
          </w:p>
        </w:tc>
        <w:tc>
          <w:tcPr>
            <w:tcW w:w="3319" w:type="dxa"/>
            <w:shd w:val="clear" w:color="auto" w:fill="auto"/>
            <w:vAlign w:val="center"/>
          </w:tcPr>
          <w:p w14:paraId="1532531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heme="minorBidi"/>
                <w:kern w:val="2"/>
                <w:sz w:val="28"/>
                <w:szCs w:val="24"/>
                <w:lang w:val="en-US" w:eastAsia="zh-CN" w:bidi="ar-SA"/>
              </w:rPr>
            </w:pPr>
            <w:r>
              <w:rPr>
                <w:rFonts w:hint="eastAsia" w:ascii="Times New Roman" w:hAnsi="Times New Roman" w:eastAsia="方正仿宋_GBK"/>
                <w:sz w:val="28"/>
              </w:rPr>
              <w:t>未落实机械伤害“四必有”即有轴必有套、有轮必有罩、有台必有栏、有洞必有盖要求</w:t>
            </w:r>
          </w:p>
        </w:tc>
        <w:tc>
          <w:tcPr>
            <w:tcW w:w="3195" w:type="dxa"/>
            <w:shd w:val="clear" w:color="auto" w:fill="auto"/>
            <w:vAlign w:val="center"/>
          </w:tcPr>
          <w:p w14:paraId="733D047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heme="minorBidi"/>
                <w:kern w:val="2"/>
                <w:sz w:val="28"/>
                <w:szCs w:val="24"/>
                <w:lang w:val="en-US" w:eastAsia="zh-CN" w:bidi="ar-SA"/>
              </w:rPr>
            </w:pPr>
            <w:r>
              <w:rPr>
                <w:rFonts w:hint="eastAsia" w:ascii="Times New Roman" w:hAnsi="Times New Roman" w:eastAsia="方正仿宋_GBK"/>
                <w:sz w:val="28"/>
              </w:rPr>
              <w:t>《中华人民共和国安全生产法》第三十六条</w:t>
            </w:r>
          </w:p>
        </w:tc>
        <w:tc>
          <w:tcPr>
            <w:tcW w:w="1605" w:type="dxa"/>
            <w:shd w:val="clear" w:color="auto" w:fill="auto"/>
            <w:vAlign w:val="center"/>
          </w:tcPr>
          <w:p w14:paraId="630C9B0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cstheme="minorBidi"/>
                <w:kern w:val="2"/>
                <w:sz w:val="28"/>
                <w:szCs w:val="24"/>
                <w:lang w:val="en-US" w:eastAsia="zh-CN" w:bidi="ar-SA"/>
              </w:rPr>
            </w:pPr>
            <w:r>
              <w:rPr>
                <w:rFonts w:hint="eastAsia" w:ascii="方正仿宋_GBK" w:hAnsi="方正仿宋_GBK" w:eastAsia="方正仿宋_GBK" w:cs="方正仿宋_GBK"/>
                <w:sz w:val="28"/>
                <w:lang w:val="en-US" w:eastAsia="zh-CN"/>
              </w:rPr>
              <w:t>★★★</w:t>
            </w:r>
          </w:p>
        </w:tc>
        <w:tc>
          <w:tcPr>
            <w:tcW w:w="3015" w:type="dxa"/>
            <w:shd w:val="clear" w:color="auto" w:fill="auto"/>
            <w:vAlign w:val="center"/>
          </w:tcPr>
          <w:p w14:paraId="1A7DE83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heme="minorBidi"/>
                <w:kern w:val="2"/>
                <w:sz w:val="28"/>
                <w:szCs w:val="28"/>
                <w:lang w:val="en-US" w:eastAsia="zh-CN" w:bidi="ar-SA"/>
              </w:rPr>
            </w:pPr>
            <w:r>
              <w:rPr>
                <w:rFonts w:hint="eastAsia" w:ascii="Times New Roman" w:hAnsi="Times New Roman" w:eastAsia="方正仿宋_GBK"/>
                <w:sz w:val="28"/>
                <w:szCs w:val="28"/>
                <w:lang w:val="en-US" w:eastAsia="zh-CN"/>
              </w:rPr>
              <w:t>对照《生产设备安全卫生设计总则》（GB5083）、《固定式钢梯及平台安全要求第3部分：工业防护栏杆及钢平台》（GB4053.3）、《建筑施工高处作业安全技术规范》（JGJ80）等相关要求及《无锡市工贸行业安全生产重点监督检查清单（试行）》中的有关事项，开展隐患排查治理工作</w:t>
            </w:r>
          </w:p>
        </w:tc>
      </w:tr>
      <w:tr w14:paraId="66A12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7" w:hRule="atLeast"/>
        </w:trPr>
        <w:tc>
          <w:tcPr>
            <w:tcW w:w="986" w:type="dxa"/>
            <w:shd w:val="clear" w:color="auto" w:fill="auto"/>
            <w:vAlign w:val="center"/>
          </w:tcPr>
          <w:p w14:paraId="30121C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kern w:val="2"/>
                <w:sz w:val="32"/>
                <w:szCs w:val="32"/>
                <w:vertAlign w:val="baseline"/>
                <w:lang w:val="en-US" w:eastAsia="zh-CN" w:bidi="ar-SA"/>
              </w:rPr>
            </w:pPr>
            <w:r>
              <w:rPr>
                <w:rFonts w:hint="eastAsia" w:ascii="Times New Roman" w:hAnsi="Times New Roman" w:eastAsia="方正仿宋_GBK" w:cs="Times New Roman"/>
                <w:sz w:val="32"/>
                <w:szCs w:val="32"/>
                <w:vertAlign w:val="baseline"/>
                <w:lang w:val="en-US" w:eastAsia="zh-CN"/>
              </w:rPr>
              <w:t>6</w:t>
            </w:r>
          </w:p>
        </w:tc>
        <w:tc>
          <w:tcPr>
            <w:tcW w:w="986" w:type="dxa"/>
            <w:vMerge w:val="continue"/>
            <w:shd w:val="clear" w:color="auto" w:fill="auto"/>
            <w:vAlign w:val="center"/>
          </w:tcPr>
          <w:p w14:paraId="4E099CB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kern w:val="2"/>
                <w:sz w:val="32"/>
                <w:szCs w:val="32"/>
                <w:vertAlign w:val="baseline"/>
                <w:lang w:val="en-US" w:eastAsia="zh-CN" w:bidi="ar-SA"/>
              </w:rPr>
            </w:pPr>
          </w:p>
        </w:tc>
        <w:tc>
          <w:tcPr>
            <w:tcW w:w="3319" w:type="dxa"/>
            <w:shd w:val="clear" w:color="auto" w:fill="auto"/>
            <w:vAlign w:val="center"/>
          </w:tcPr>
          <w:p w14:paraId="635EC67F">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cs="Times New Roman"/>
                <w:kern w:val="2"/>
                <w:sz w:val="32"/>
                <w:szCs w:val="32"/>
                <w:vertAlign w:val="baseline"/>
                <w:lang w:val="en-US" w:eastAsia="zh-CN" w:bidi="ar-SA"/>
              </w:rPr>
            </w:pPr>
            <w:r>
              <w:rPr>
                <w:rFonts w:hint="eastAsia" w:ascii="Times New Roman" w:hAnsi="Times New Roman" w:eastAsia="方正仿宋_GBK" w:cs="Times New Roman"/>
                <w:sz w:val="28"/>
                <w:szCs w:val="28"/>
                <w:vertAlign w:val="baseline"/>
                <w:lang w:val="en-US" w:eastAsia="zh-CN"/>
              </w:rPr>
              <w:t>高处作业、动火作业、有限空间作业等危险作业</w:t>
            </w:r>
            <w:r>
              <w:rPr>
                <w:rFonts w:hint="eastAsia" w:ascii="Times New Roman" w:hAnsi="Times New Roman" w:eastAsia="方正仿宋_GBK"/>
                <w:sz w:val="28"/>
              </w:rPr>
              <w:t>未安排专门人员进行现场安全管理，确保操作规程的遵守和安全措施的落实</w:t>
            </w:r>
          </w:p>
        </w:tc>
        <w:tc>
          <w:tcPr>
            <w:tcW w:w="3195" w:type="dxa"/>
            <w:shd w:val="clear" w:color="auto" w:fill="auto"/>
            <w:vAlign w:val="center"/>
          </w:tcPr>
          <w:p w14:paraId="365AEFC8">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rPr>
            </w:pPr>
            <w:r>
              <w:rPr>
                <w:rFonts w:hint="eastAsia" w:ascii="Times New Roman" w:hAnsi="Times New Roman" w:eastAsia="方正仿宋_GBK"/>
                <w:sz w:val="28"/>
              </w:rPr>
              <w:t>《中华人民共和国安全生产法》第四十三条</w:t>
            </w:r>
          </w:p>
          <w:p w14:paraId="5E2DB3DF">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lang w:val="en-US" w:eastAsia="zh-CN"/>
              </w:rPr>
            </w:pPr>
            <w:r>
              <w:rPr>
                <w:rFonts w:hint="eastAsia" w:ascii="Times New Roman" w:hAnsi="Times New Roman" w:eastAsia="方正仿宋_GBK"/>
                <w:sz w:val="28"/>
              </w:rPr>
              <w:t>《江苏省安全生产条例》第</w:t>
            </w:r>
            <w:r>
              <w:rPr>
                <w:rFonts w:hint="eastAsia" w:ascii="Times New Roman" w:hAnsi="Times New Roman" w:eastAsia="方正仿宋_GBK"/>
                <w:sz w:val="28"/>
                <w:lang w:val="en-US" w:eastAsia="zh-CN"/>
              </w:rPr>
              <w:t>二十九</w:t>
            </w:r>
            <w:r>
              <w:rPr>
                <w:rFonts w:hint="eastAsia" w:ascii="Times New Roman" w:hAnsi="Times New Roman" w:eastAsia="方正仿宋_GBK"/>
                <w:sz w:val="28"/>
              </w:rPr>
              <w:t>条</w:t>
            </w:r>
          </w:p>
        </w:tc>
        <w:tc>
          <w:tcPr>
            <w:tcW w:w="1605" w:type="dxa"/>
            <w:shd w:val="clear" w:color="auto" w:fill="auto"/>
            <w:vAlign w:val="center"/>
          </w:tcPr>
          <w:p w14:paraId="536BBE3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cs="Times New Roman"/>
                <w:kern w:val="2"/>
                <w:sz w:val="32"/>
                <w:szCs w:val="32"/>
                <w:vertAlign w:val="baseline"/>
                <w:lang w:val="en-US" w:eastAsia="zh-CN" w:bidi="ar-SA"/>
              </w:rPr>
            </w:pPr>
            <w:r>
              <w:rPr>
                <w:rFonts w:hint="eastAsia" w:ascii="方正仿宋_GBK" w:hAnsi="方正仿宋_GBK" w:eastAsia="方正仿宋_GBK" w:cs="方正仿宋_GBK"/>
                <w:sz w:val="28"/>
                <w:lang w:val="en-US" w:eastAsia="zh-CN"/>
              </w:rPr>
              <w:t>★</w:t>
            </w:r>
          </w:p>
        </w:tc>
        <w:tc>
          <w:tcPr>
            <w:tcW w:w="3015" w:type="dxa"/>
            <w:shd w:val="clear" w:color="auto" w:fill="auto"/>
            <w:vAlign w:val="center"/>
          </w:tcPr>
          <w:p w14:paraId="77169CC4">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sz w:val="28"/>
                <w:szCs w:val="28"/>
                <w:lang w:val="en-US" w:eastAsia="zh-CN"/>
              </w:rPr>
              <w:t>对照</w:t>
            </w:r>
            <w:r>
              <w:rPr>
                <w:rFonts w:hint="eastAsia" w:ascii="Times New Roman" w:hAnsi="Times New Roman" w:eastAsia="方正仿宋_GBK" w:cs="Times New Roman"/>
                <w:sz w:val="28"/>
                <w:szCs w:val="28"/>
                <w:lang w:eastAsia="zh-CN"/>
              </w:rPr>
              <w:t>《江苏省安全生产条例》第二十</w:t>
            </w:r>
            <w:r>
              <w:rPr>
                <w:rFonts w:hint="eastAsia" w:ascii="Times New Roman" w:hAnsi="Times New Roman" w:eastAsia="方正仿宋_GBK" w:cs="Times New Roman"/>
                <w:sz w:val="28"/>
                <w:szCs w:val="28"/>
                <w:lang w:val="en-US" w:eastAsia="zh-CN"/>
              </w:rPr>
              <w:t>九</w:t>
            </w:r>
            <w:r>
              <w:rPr>
                <w:rFonts w:hint="eastAsia" w:ascii="Times New Roman" w:hAnsi="Times New Roman" w:eastAsia="方正仿宋_GBK" w:cs="Times New Roman"/>
                <w:sz w:val="28"/>
                <w:szCs w:val="28"/>
                <w:lang w:eastAsia="zh-CN"/>
              </w:rPr>
              <w:t>条、《</w:t>
            </w:r>
            <w:r>
              <w:rPr>
                <w:rFonts w:hint="eastAsia" w:ascii="Times New Roman" w:hAnsi="Times New Roman" w:eastAsia="方正仿宋_GBK" w:cs="Times New Roman"/>
                <w:sz w:val="28"/>
                <w:szCs w:val="28"/>
                <w:lang w:val="en-US" w:eastAsia="zh-CN"/>
              </w:rPr>
              <w:t>工贸企业有限空间作业安全规定</w:t>
            </w:r>
            <w:r>
              <w:rPr>
                <w:rFonts w:hint="eastAsia" w:ascii="Times New Roman" w:hAnsi="Times New Roman" w:eastAsia="方正仿宋_GBK" w:cs="Times New Roman"/>
                <w:sz w:val="28"/>
                <w:szCs w:val="28"/>
                <w:lang w:eastAsia="zh-CN"/>
              </w:rPr>
              <w:t>》（</w:t>
            </w:r>
            <w:bookmarkStart w:id="0" w:name="_GoBack"/>
            <w:bookmarkEnd w:id="0"/>
            <w:r>
              <w:rPr>
                <w:rFonts w:hint="eastAsia" w:ascii="Times New Roman" w:hAnsi="Times New Roman" w:eastAsia="方正仿宋_GBK" w:cs="Times New Roman"/>
                <w:sz w:val="28"/>
                <w:szCs w:val="28"/>
                <w:lang w:val="en-US" w:eastAsia="zh-CN"/>
              </w:rPr>
              <w:t>应急管理部13号令</w:t>
            </w:r>
            <w:r>
              <w:rPr>
                <w:rFonts w:hint="eastAsia" w:ascii="Times New Roman" w:hAnsi="Times New Roman" w:eastAsia="方正仿宋_GBK" w:cs="Times New Roman"/>
                <w:sz w:val="28"/>
                <w:szCs w:val="28"/>
                <w:lang w:eastAsia="zh-CN"/>
              </w:rPr>
              <w:t>）、《焊接与切割安全》（GB 9448）等法律法规标准要求及</w:t>
            </w:r>
            <w:r>
              <w:rPr>
                <w:rFonts w:hint="eastAsia" w:ascii="Times New Roman" w:hAnsi="Times New Roman" w:eastAsia="方正仿宋_GBK"/>
                <w:sz w:val="28"/>
                <w:szCs w:val="28"/>
                <w:lang w:val="en-US" w:eastAsia="zh-CN"/>
              </w:rPr>
              <w:t>《无锡市工贸行业安全生产重点监督检查清单（试行）》</w:t>
            </w:r>
            <w:r>
              <w:rPr>
                <w:rFonts w:hint="eastAsia" w:ascii="Times New Roman" w:hAnsi="Times New Roman" w:eastAsia="方正仿宋_GBK" w:cs="Times New Roman"/>
                <w:sz w:val="28"/>
                <w:szCs w:val="28"/>
                <w:lang w:eastAsia="zh-CN"/>
              </w:rPr>
              <w:t>中的有关事项，全面加强对危险作业的辨识及风险管控</w:t>
            </w:r>
          </w:p>
        </w:tc>
      </w:tr>
      <w:tr w14:paraId="31A7B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8" w:hRule="atLeast"/>
        </w:trPr>
        <w:tc>
          <w:tcPr>
            <w:tcW w:w="986" w:type="dxa"/>
            <w:vAlign w:val="center"/>
          </w:tcPr>
          <w:p w14:paraId="3F69252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7</w:t>
            </w:r>
          </w:p>
        </w:tc>
        <w:tc>
          <w:tcPr>
            <w:tcW w:w="986" w:type="dxa"/>
            <w:vMerge w:val="restart"/>
            <w:vAlign w:val="center"/>
          </w:tcPr>
          <w:p w14:paraId="7C2668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sz w:val="28"/>
                <w:lang w:val="en-US" w:eastAsia="zh-CN"/>
              </w:rPr>
              <w:t>机械</w:t>
            </w:r>
          </w:p>
        </w:tc>
        <w:tc>
          <w:tcPr>
            <w:tcW w:w="3319" w:type="dxa"/>
            <w:vAlign w:val="center"/>
          </w:tcPr>
          <w:p w14:paraId="6528D6C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32"/>
                <w:szCs w:val="32"/>
                <w:vertAlign w:val="baseline"/>
              </w:rPr>
            </w:pPr>
            <w:r>
              <w:rPr>
                <w:rFonts w:hint="eastAsia" w:ascii="Times New Roman" w:hAnsi="Times New Roman" w:eastAsia="方正仿宋_GBK"/>
                <w:sz w:val="28"/>
              </w:rPr>
              <w:t>使用煤气（天然气）的燃烧装置的燃气总管未设置管道压力监测报警装置，或者监测报警装置未与紧急自动切断装置联锁，或者燃烧装置未设置火焰监测和熄火保护系统的</w:t>
            </w:r>
          </w:p>
        </w:tc>
        <w:tc>
          <w:tcPr>
            <w:tcW w:w="3195" w:type="dxa"/>
            <w:vAlign w:val="center"/>
          </w:tcPr>
          <w:p w14:paraId="68E7975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rPr>
            </w:pPr>
          </w:p>
          <w:p w14:paraId="215DEF2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p w14:paraId="32B9E85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32"/>
                <w:szCs w:val="32"/>
                <w:vertAlign w:val="baseline"/>
              </w:rPr>
            </w:pPr>
            <w:r>
              <w:rPr>
                <w:rFonts w:hint="eastAsia" w:ascii="Times New Roman" w:hAnsi="Times New Roman" w:eastAsia="方正仿宋_GBK"/>
                <w:sz w:val="28"/>
              </w:rPr>
              <w:t>《工贸企业重大事故隐患判定标准》第七条第五项</w:t>
            </w:r>
          </w:p>
        </w:tc>
        <w:tc>
          <w:tcPr>
            <w:tcW w:w="1605" w:type="dxa"/>
            <w:vAlign w:val="center"/>
          </w:tcPr>
          <w:p w14:paraId="1E6EB6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rPr>
            </w:pPr>
            <w:r>
              <w:rPr>
                <w:rFonts w:hint="eastAsia" w:ascii="方正仿宋_GBK" w:hAnsi="方正仿宋_GBK" w:eastAsia="方正仿宋_GBK" w:cs="方正仿宋_GBK"/>
                <w:sz w:val="28"/>
                <w:lang w:val="en-US" w:eastAsia="zh-CN"/>
              </w:rPr>
              <w:t>★★</w:t>
            </w:r>
          </w:p>
        </w:tc>
        <w:tc>
          <w:tcPr>
            <w:tcW w:w="3015" w:type="dxa"/>
            <w:vAlign w:val="center"/>
          </w:tcPr>
          <w:p w14:paraId="4DEB134A">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宋体" w:cs="Times New Roman"/>
                <w:sz w:val="32"/>
                <w:szCs w:val="32"/>
                <w:vertAlign w:val="baseline"/>
                <w:lang w:eastAsia="zh-CN"/>
              </w:rPr>
            </w:pPr>
            <w:r>
              <w:rPr>
                <w:rFonts w:hint="eastAsia" w:ascii="Times New Roman" w:hAnsi="Times New Roman" w:eastAsia="方正仿宋_GBK" w:cs="Times New Roman"/>
                <w:sz w:val="28"/>
                <w:szCs w:val="28"/>
                <w:lang w:val="en-US" w:eastAsia="zh-CN"/>
              </w:rPr>
              <w:t>对照</w:t>
            </w:r>
            <w:r>
              <w:rPr>
                <w:rFonts w:hint="eastAsia" w:ascii="Times New Roman" w:hAnsi="Times New Roman" w:eastAsia="方正仿宋_GBK" w:cs="Times New Roman"/>
                <w:sz w:val="28"/>
                <w:szCs w:val="28"/>
              </w:rPr>
              <w:t>《城镇燃气设计规范》（GB 50028）</w:t>
            </w:r>
            <w:r>
              <w:rPr>
                <w:rFonts w:hint="eastAsia" w:ascii="Times New Roman" w:hAnsi="Times New Roman" w:eastAsia="方正仿宋_GBK" w:cs="Times New Roman"/>
                <w:sz w:val="28"/>
                <w:szCs w:val="28"/>
                <w:lang w:val="en-US" w:eastAsia="zh-CN"/>
              </w:rPr>
              <w:t>及</w:t>
            </w:r>
            <w:r>
              <w:rPr>
                <w:rFonts w:hint="eastAsia" w:ascii="Times New Roman" w:hAnsi="Times New Roman" w:eastAsia="方正仿宋_GBK"/>
                <w:sz w:val="28"/>
                <w:szCs w:val="28"/>
                <w:lang w:val="en-US" w:eastAsia="zh-CN"/>
              </w:rPr>
              <w:t>《无锡市工贸行业安全生产重点监督检查清单（试行）》</w:t>
            </w:r>
            <w:r>
              <w:rPr>
                <w:rFonts w:hint="default" w:ascii="Times New Roman" w:hAnsi="Times New Roman" w:eastAsia="方正仿宋_GBK" w:cs="Times New Roman"/>
                <w:sz w:val="28"/>
                <w:szCs w:val="28"/>
              </w:rPr>
              <w:t>中的有关事项，开展隐患排查治理工作</w:t>
            </w:r>
          </w:p>
        </w:tc>
      </w:tr>
      <w:tr w14:paraId="7D541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1" w:hRule="atLeast"/>
        </w:trPr>
        <w:tc>
          <w:tcPr>
            <w:tcW w:w="986" w:type="dxa"/>
            <w:vAlign w:val="center"/>
          </w:tcPr>
          <w:p w14:paraId="33FE61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8</w:t>
            </w:r>
          </w:p>
        </w:tc>
        <w:tc>
          <w:tcPr>
            <w:tcW w:w="986" w:type="dxa"/>
            <w:vMerge w:val="continue"/>
            <w:vAlign w:val="center"/>
          </w:tcPr>
          <w:p w14:paraId="57B7A2C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p>
        </w:tc>
        <w:tc>
          <w:tcPr>
            <w:tcW w:w="3319" w:type="dxa"/>
            <w:vAlign w:val="center"/>
          </w:tcPr>
          <w:p w14:paraId="11BD268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32"/>
                <w:szCs w:val="32"/>
                <w:vertAlign w:val="baseline"/>
              </w:rPr>
            </w:pPr>
            <w:r>
              <w:rPr>
                <w:rFonts w:hint="eastAsia" w:ascii="Times New Roman" w:hAnsi="Times New Roman" w:eastAsia="方正仿宋_GBK"/>
                <w:sz w:val="28"/>
              </w:rPr>
              <w:t>铸造用熔炼炉、精炼炉、压铸机、氧枪的冷却水系统未设置出水温度、进出水流量差监测报警装置，或者监测报警装置未与熔融金属加热、输送控制系统联锁的</w:t>
            </w:r>
          </w:p>
        </w:tc>
        <w:tc>
          <w:tcPr>
            <w:tcW w:w="3195" w:type="dxa"/>
            <w:vAlign w:val="center"/>
          </w:tcPr>
          <w:p w14:paraId="1E77971C">
            <w:pPr>
              <w:spacing w:line="400" w:lineRule="exact"/>
              <w:jc w:val="left"/>
              <w:rPr>
                <w:rFonts w:ascii="Times New Roman" w:hAnsi="Times New Roman" w:eastAsia="方正仿宋_GBK"/>
                <w:sz w:val="28"/>
              </w:rPr>
            </w:pPr>
          </w:p>
          <w:p w14:paraId="548D210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lang w:eastAsia="zh-CN"/>
              </w:rPr>
            </w:pPr>
            <w:r>
              <w:rPr>
                <w:rFonts w:hint="eastAsia" w:ascii="Times New Roman" w:hAnsi="Times New Roman" w:eastAsia="方正仿宋_GBK"/>
                <w:sz w:val="28"/>
              </w:rPr>
              <w:t>《中华人民共和国安全生产法》第三十六条</w:t>
            </w:r>
            <w:r>
              <w:rPr>
                <w:rFonts w:hint="eastAsia" w:ascii="Times New Roman" w:hAnsi="Times New Roman" w:eastAsia="方正仿宋_GBK"/>
                <w:sz w:val="28"/>
                <w:lang w:val="en-US" w:eastAsia="zh-CN"/>
              </w:rPr>
              <w:t>第一款</w:t>
            </w:r>
          </w:p>
          <w:p w14:paraId="08CC6F4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rPr>
            </w:pPr>
            <w:r>
              <w:rPr>
                <w:rFonts w:hint="eastAsia" w:ascii="Times New Roman" w:hAnsi="Times New Roman" w:eastAsia="方正仿宋_GBK"/>
                <w:sz w:val="28"/>
              </w:rPr>
              <w:t>《工贸企业重大事故隐患判定标准》第七条第四项</w:t>
            </w:r>
          </w:p>
        </w:tc>
        <w:tc>
          <w:tcPr>
            <w:tcW w:w="1605" w:type="dxa"/>
            <w:vAlign w:val="center"/>
          </w:tcPr>
          <w:p w14:paraId="335F240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rPr>
            </w:pPr>
            <w:r>
              <w:rPr>
                <w:rFonts w:hint="eastAsia" w:ascii="方正仿宋_GBK" w:hAnsi="方正仿宋_GBK" w:eastAsia="方正仿宋_GBK" w:cs="方正仿宋_GBK"/>
                <w:sz w:val="28"/>
                <w:lang w:val="en-US" w:eastAsia="zh-CN"/>
              </w:rPr>
              <w:t>★★</w:t>
            </w:r>
          </w:p>
        </w:tc>
        <w:tc>
          <w:tcPr>
            <w:tcW w:w="3015" w:type="dxa"/>
            <w:vAlign w:val="center"/>
          </w:tcPr>
          <w:p w14:paraId="451894A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sz w:val="32"/>
                <w:szCs w:val="32"/>
                <w:vertAlign w:val="baseline"/>
                <w:lang w:eastAsia="zh-CN"/>
              </w:rPr>
            </w:pPr>
            <w:r>
              <w:rPr>
                <w:rFonts w:hint="eastAsia" w:ascii="Times New Roman" w:hAnsi="Times New Roman" w:eastAsia="方正仿宋_GBK" w:cs="Times New Roman"/>
                <w:sz w:val="28"/>
                <w:szCs w:val="28"/>
                <w:lang w:val="en-US" w:eastAsia="zh-CN"/>
              </w:rPr>
              <w:t>对照</w:t>
            </w:r>
            <w:r>
              <w:rPr>
                <w:rFonts w:hint="eastAsia" w:ascii="Times New Roman" w:hAnsi="Times New Roman" w:eastAsia="方正仿宋_GBK" w:cs="Times New Roman"/>
                <w:sz w:val="28"/>
                <w:szCs w:val="28"/>
                <w:lang w:eastAsia="zh-CN"/>
              </w:rPr>
              <w:t>《炼钢安全规程》（AQ2001）、《</w:t>
            </w:r>
            <w:r>
              <w:rPr>
                <w:rFonts w:hint="eastAsia" w:ascii="Times New Roman" w:hAnsi="Times New Roman" w:eastAsia="方正仿宋_GBK" w:cs="Times New Roman"/>
                <w:sz w:val="28"/>
                <w:szCs w:val="28"/>
                <w:lang w:val="en-US" w:eastAsia="zh-CN"/>
              </w:rPr>
              <w:t>金属冶炼企业中频炉使用安全技术规范</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lang w:val="en-US" w:eastAsia="zh-CN"/>
              </w:rPr>
              <w:t>DB32/T 4264</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eastAsia="zh-CN"/>
              </w:rPr>
              <w:t>及</w:t>
            </w:r>
            <w:r>
              <w:rPr>
                <w:rFonts w:hint="eastAsia" w:ascii="Times New Roman" w:hAnsi="Times New Roman" w:eastAsia="方正仿宋_GBK"/>
                <w:sz w:val="28"/>
                <w:szCs w:val="28"/>
                <w:lang w:val="en-US" w:eastAsia="zh-CN"/>
              </w:rPr>
              <w:t>《无锡市工贸行业安全生产重点监督检查清单（试行）》</w:t>
            </w:r>
            <w:r>
              <w:rPr>
                <w:rFonts w:hint="default" w:ascii="Times New Roman" w:hAnsi="Times New Roman" w:eastAsia="方正仿宋_GBK" w:cs="Times New Roman"/>
                <w:sz w:val="28"/>
                <w:szCs w:val="28"/>
                <w:lang w:eastAsia="zh-CN"/>
              </w:rPr>
              <w:t>中的有关事项，开展隐患排查治理工作</w:t>
            </w:r>
          </w:p>
        </w:tc>
      </w:tr>
      <w:tr w14:paraId="01811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3" w:hRule="atLeast"/>
        </w:trPr>
        <w:tc>
          <w:tcPr>
            <w:tcW w:w="986" w:type="dxa"/>
            <w:vAlign w:val="center"/>
          </w:tcPr>
          <w:p w14:paraId="4E8B971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9</w:t>
            </w:r>
          </w:p>
        </w:tc>
        <w:tc>
          <w:tcPr>
            <w:tcW w:w="986" w:type="dxa"/>
            <w:vMerge w:val="restart"/>
            <w:vAlign w:val="center"/>
          </w:tcPr>
          <w:p w14:paraId="133F96B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机械</w:t>
            </w:r>
          </w:p>
        </w:tc>
        <w:tc>
          <w:tcPr>
            <w:tcW w:w="3319" w:type="dxa"/>
            <w:shd w:val="clear" w:color="auto" w:fill="auto"/>
            <w:vAlign w:val="center"/>
          </w:tcPr>
          <w:p w14:paraId="034A880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rPr>
            </w:pPr>
            <w:r>
              <w:rPr>
                <w:rFonts w:hint="eastAsia" w:ascii="Times New Roman" w:hAnsi="Times New Roman" w:eastAsia="方正仿宋_GBK"/>
                <w:sz w:val="28"/>
              </w:rPr>
              <w:t>使用非水性漆的调漆间、喷漆室未设置固定式可燃气体浓度监测报警装置或者通风设施的</w:t>
            </w:r>
          </w:p>
        </w:tc>
        <w:tc>
          <w:tcPr>
            <w:tcW w:w="3195" w:type="dxa"/>
            <w:shd w:val="clear" w:color="auto" w:fill="auto"/>
            <w:vAlign w:val="center"/>
          </w:tcPr>
          <w:p w14:paraId="2420E131">
            <w:pPr>
              <w:spacing w:line="400" w:lineRule="exact"/>
              <w:jc w:val="left"/>
              <w:rPr>
                <w:rFonts w:hint="eastAsia"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p w14:paraId="420E5BBF">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《工贸企业重大事故隐患判定标准》第七条第七项</w:t>
            </w:r>
          </w:p>
          <w:p w14:paraId="23A4DDB5">
            <w:pPr>
              <w:pStyle w:val="2"/>
              <w:ind w:firstLine="420" w:firstLineChars="200"/>
              <w:rPr>
                <w:rFonts w:hint="default" w:eastAsia="仿宋_GB2312" w:asciiTheme="minorHAnsi" w:hAnsiTheme="minorHAnsi" w:cstheme="minorBidi"/>
                <w:kern w:val="2"/>
                <w:sz w:val="21"/>
                <w:szCs w:val="24"/>
                <w:lang w:val="en-US" w:eastAsia="zh-CN" w:bidi="ar-SA"/>
              </w:rPr>
            </w:pPr>
          </w:p>
        </w:tc>
        <w:tc>
          <w:tcPr>
            <w:tcW w:w="1605" w:type="dxa"/>
            <w:shd w:val="clear" w:color="auto" w:fill="auto"/>
            <w:vAlign w:val="center"/>
          </w:tcPr>
          <w:p w14:paraId="4316EA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sz w:val="28"/>
                <w:lang w:val="en-US" w:eastAsia="zh-CN"/>
              </w:rPr>
            </w:pPr>
            <w:r>
              <w:rPr>
                <w:rFonts w:hint="eastAsia" w:ascii="方正仿宋_GBK" w:hAnsi="方正仿宋_GBK" w:eastAsia="方正仿宋_GBK" w:cs="方正仿宋_GBK"/>
                <w:sz w:val="28"/>
                <w:lang w:val="en-US" w:eastAsia="zh-CN"/>
              </w:rPr>
              <w:t>★★</w:t>
            </w:r>
          </w:p>
        </w:tc>
        <w:tc>
          <w:tcPr>
            <w:tcW w:w="3015" w:type="dxa"/>
            <w:shd w:val="clear" w:color="auto" w:fill="auto"/>
            <w:vAlign w:val="center"/>
          </w:tcPr>
          <w:p w14:paraId="53BF89D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对照《涂装作业安全规程 涂漆工艺安全及其通风净化》（GB 6514）、《涂装作业安全规程 喷漆室安全技术规定》（GB 14444）、《建筑防火</w:t>
            </w:r>
            <w:r>
              <w:rPr>
                <w:rFonts w:hint="default" w:ascii="Times New Roman" w:hAnsi="Times New Roman" w:eastAsia="方正仿宋_GBK" w:cs="Times New Roman"/>
                <w:sz w:val="28"/>
                <w:szCs w:val="28"/>
                <w:lang w:val="en-US" w:eastAsia="zh-CN"/>
              </w:rPr>
              <w:t>通用</w:t>
            </w:r>
            <w:r>
              <w:rPr>
                <w:rFonts w:hint="default" w:ascii="Times New Roman" w:hAnsi="Times New Roman" w:eastAsia="方正仿宋_GBK" w:cs="Times New Roman"/>
                <w:sz w:val="28"/>
                <w:szCs w:val="28"/>
              </w:rPr>
              <w:t>规范</w:t>
            </w:r>
            <w:r>
              <w:rPr>
                <w:rFonts w:hint="eastAsia"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（GB</w:t>
            </w:r>
            <w:r>
              <w:rPr>
                <w:rFonts w:hint="default" w:ascii="Times New Roman" w:hAnsi="Times New Roman" w:eastAsia="方正仿宋_GBK" w:cs="Times New Roman"/>
                <w:sz w:val="28"/>
                <w:szCs w:val="28"/>
                <w:lang w:val="en-US" w:eastAsia="zh-CN"/>
              </w:rPr>
              <w:t xml:space="preserve"> </w:t>
            </w:r>
          </w:p>
          <w:p w14:paraId="66A5A9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sz w:val="28"/>
                <w:szCs w:val="28"/>
              </w:rPr>
            </w:pPr>
            <w:r>
              <w:rPr>
                <w:rFonts w:hint="default" w:ascii="Times New Roman" w:hAnsi="Times New Roman" w:eastAsia="方正仿宋_GBK" w:cs="Times New Roman"/>
                <w:sz w:val="28"/>
                <w:szCs w:val="28"/>
              </w:rPr>
              <w:t>5</w:t>
            </w: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0</w:t>
            </w:r>
            <w:r>
              <w:rPr>
                <w:rFonts w:hint="default" w:ascii="Times New Roman" w:hAnsi="Times New Roman" w:eastAsia="方正仿宋_GBK" w:cs="Times New Roman"/>
                <w:sz w:val="28"/>
                <w:szCs w:val="28"/>
                <w:lang w:val="en-US" w:eastAsia="zh-CN"/>
              </w:rPr>
              <w:t>37</w:t>
            </w:r>
            <w:r>
              <w:rPr>
                <w:rFonts w:hint="default" w:ascii="Times New Roman" w:hAnsi="Times New Roman" w:eastAsia="方正仿宋_GBK" w:cs="Times New Roman"/>
                <w:sz w:val="28"/>
                <w:szCs w:val="28"/>
              </w:rPr>
              <w:t>）等相关涂装作业安全要求及</w:t>
            </w:r>
            <w:r>
              <w:rPr>
                <w:rFonts w:hint="eastAsia" w:ascii="Times New Roman" w:hAnsi="Times New Roman" w:eastAsia="方正仿宋_GBK"/>
                <w:sz w:val="28"/>
                <w:szCs w:val="28"/>
                <w:lang w:val="en-US" w:eastAsia="zh-CN"/>
              </w:rPr>
              <w:t>《无锡市工贸行业安全生产重点监督检查清单（试行）》</w:t>
            </w:r>
            <w:r>
              <w:rPr>
                <w:rFonts w:hint="default" w:ascii="Times New Roman" w:hAnsi="Times New Roman" w:eastAsia="方正仿宋_GBK" w:cs="Times New Roman"/>
                <w:sz w:val="28"/>
                <w:szCs w:val="28"/>
              </w:rPr>
              <w:t>中</w:t>
            </w:r>
            <w:r>
              <w:rPr>
                <w:rFonts w:hint="eastAsia" w:ascii="Times New Roman" w:hAnsi="Times New Roman" w:eastAsia="方正仿宋_GBK" w:cs="Times New Roman"/>
                <w:sz w:val="28"/>
                <w:szCs w:val="28"/>
                <w:lang w:val="en-US" w:eastAsia="zh-CN"/>
              </w:rPr>
              <w:t>的</w:t>
            </w:r>
            <w:r>
              <w:rPr>
                <w:rFonts w:hint="default" w:ascii="Times New Roman" w:hAnsi="Times New Roman" w:eastAsia="方正仿宋_GBK" w:cs="Times New Roman"/>
                <w:sz w:val="28"/>
                <w:szCs w:val="28"/>
              </w:rPr>
              <w:t>有关事项，开展隐患排查治理工作</w:t>
            </w:r>
          </w:p>
        </w:tc>
      </w:tr>
      <w:tr w14:paraId="38EDA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6" w:hRule="atLeast"/>
        </w:trPr>
        <w:tc>
          <w:tcPr>
            <w:tcW w:w="986" w:type="dxa"/>
            <w:vAlign w:val="center"/>
          </w:tcPr>
          <w:p w14:paraId="4A17C8B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10</w:t>
            </w:r>
          </w:p>
        </w:tc>
        <w:tc>
          <w:tcPr>
            <w:tcW w:w="986" w:type="dxa"/>
            <w:vMerge w:val="continue"/>
            <w:vAlign w:val="center"/>
          </w:tcPr>
          <w:p w14:paraId="75F80F8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lang w:val="en-US" w:eastAsia="zh-CN"/>
              </w:rPr>
            </w:pPr>
          </w:p>
        </w:tc>
        <w:tc>
          <w:tcPr>
            <w:tcW w:w="3319" w:type="dxa"/>
            <w:shd w:val="clear" w:color="auto" w:fill="auto"/>
            <w:vAlign w:val="center"/>
          </w:tcPr>
          <w:p w14:paraId="199B4E8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imes New Roman"/>
                <w:kern w:val="2"/>
                <w:sz w:val="32"/>
                <w:szCs w:val="32"/>
                <w:vertAlign w:val="baseline"/>
                <w:lang w:val="en-US" w:eastAsia="zh-CN" w:bidi="ar-SA"/>
              </w:rPr>
            </w:pPr>
            <w:r>
              <w:rPr>
                <w:rFonts w:hint="eastAsia" w:ascii="Times New Roman" w:hAnsi="Times New Roman" w:eastAsia="方正仿宋_GBK"/>
                <w:sz w:val="28"/>
              </w:rPr>
              <w:t>生产期间铸造用熔炼炉、精炼炉、保温炉的炉底、炉坑和事故坑，以及熔融金属泄漏、喷溅影响范围内的炉前平台、炉基区域、造型地坑、浇注作业坑和熔融金属转运通道等8类区域存在积水的</w:t>
            </w:r>
          </w:p>
        </w:tc>
        <w:tc>
          <w:tcPr>
            <w:tcW w:w="3195" w:type="dxa"/>
            <w:shd w:val="clear" w:color="auto" w:fill="auto"/>
            <w:vAlign w:val="center"/>
          </w:tcPr>
          <w:p w14:paraId="36B3BE8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p w14:paraId="543110FA">
            <w:pPr>
              <w:spacing w:line="400" w:lineRule="exact"/>
              <w:jc w:val="left"/>
              <w:rPr>
                <w:rFonts w:ascii="Times New Roman" w:hAnsi="Times New Roman" w:eastAsia="方正仿宋_GBK"/>
                <w:sz w:val="28"/>
              </w:rPr>
            </w:pPr>
            <w:r>
              <w:rPr>
                <w:rFonts w:hint="eastAsia" w:ascii="Times New Roman" w:hAnsi="Times New Roman" w:eastAsia="方正仿宋_GBK"/>
                <w:sz w:val="28"/>
              </w:rPr>
              <w:t>《工贸企业重大事故隐患判定标准》第七条第三项</w:t>
            </w:r>
          </w:p>
          <w:p w14:paraId="2657FFE5">
            <w:pPr>
              <w:pStyle w:val="2"/>
              <w:ind w:firstLine="420" w:firstLineChars="200"/>
              <w:rPr>
                <w:rFonts w:hint="default" w:eastAsia="仿宋_GB2312" w:asciiTheme="minorHAnsi" w:hAnsiTheme="minorHAnsi" w:cstheme="minorBidi"/>
                <w:kern w:val="2"/>
                <w:sz w:val="21"/>
                <w:szCs w:val="24"/>
                <w:lang w:val="en-US" w:eastAsia="zh-CN" w:bidi="ar-SA"/>
              </w:rPr>
            </w:pPr>
          </w:p>
        </w:tc>
        <w:tc>
          <w:tcPr>
            <w:tcW w:w="1605" w:type="dxa"/>
            <w:shd w:val="clear" w:color="auto" w:fill="auto"/>
            <w:vAlign w:val="center"/>
          </w:tcPr>
          <w:p w14:paraId="0C8550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cs="Times New Roman"/>
                <w:kern w:val="2"/>
                <w:sz w:val="32"/>
                <w:szCs w:val="32"/>
                <w:vertAlign w:val="baseline"/>
                <w:lang w:val="en-US" w:eastAsia="zh-CN" w:bidi="ar-SA"/>
              </w:rPr>
            </w:pPr>
            <w:r>
              <w:rPr>
                <w:rFonts w:hint="eastAsia" w:ascii="方正仿宋_GBK" w:hAnsi="方正仿宋_GBK" w:eastAsia="方正仿宋_GBK" w:cs="方正仿宋_GBK"/>
                <w:sz w:val="28"/>
                <w:lang w:val="en-US" w:eastAsia="zh-CN"/>
              </w:rPr>
              <w:t>★</w:t>
            </w:r>
          </w:p>
        </w:tc>
        <w:tc>
          <w:tcPr>
            <w:tcW w:w="3015" w:type="dxa"/>
            <w:shd w:val="clear" w:color="auto" w:fill="auto"/>
            <w:vAlign w:val="center"/>
          </w:tcPr>
          <w:p w14:paraId="6250305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方正仿宋_GBK" w:cs="Times New Roman"/>
                <w:kern w:val="2"/>
                <w:sz w:val="32"/>
                <w:szCs w:val="32"/>
                <w:vertAlign w:val="baseline"/>
                <w:lang w:val="en-US" w:eastAsia="zh-CN" w:bidi="ar-SA"/>
              </w:rPr>
            </w:pPr>
            <w:r>
              <w:rPr>
                <w:rFonts w:hint="eastAsia" w:ascii="Times New Roman" w:hAnsi="Times New Roman" w:eastAsia="方正仿宋_GBK" w:cs="Times New Roman"/>
                <w:sz w:val="28"/>
                <w:szCs w:val="28"/>
              </w:rPr>
              <w:t>对照</w:t>
            </w:r>
            <w:r>
              <w:rPr>
                <w:rFonts w:hint="eastAsia" w:ascii="Times New Roman" w:hAnsi="Times New Roman" w:eastAsia="方正仿宋_GBK" w:cs="Times New Roman"/>
                <w:sz w:val="28"/>
                <w:szCs w:val="28"/>
                <w:lang w:eastAsia="zh-CN"/>
              </w:rPr>
              <w:t>《高温熔融金属吊运安全规程》（AQ 7011）、《</w:t>
            </w:r>
            <w:r>
              <w:rPr>
                <w:rFonts w:hint="eastAsia" w:ascii="Times New Roman" w:hAnsi="Times New Roman" w:eastAsia="方正仿宋_GBK" w:cs="Times New Roman"/>
                <w:sz w:val="28"/>
                <w:szCs w:val="28"/>
              </w:rPr>
              <w:t>金属冶炼企业中频炉使用安全技术规范</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DB32</w:t>
            </w:r>
            <w:r>
              <w:rPr>
                <w:rFonts w:hint="eastAsia" w:ascii="Times New Roman" w:hAnsi="Times New Roman" w:eastAsia="方正仿宋_GBK" w:cs="Times New Roman"/>
                <w:sz w:val="28"/>
                <w:szCs w:val="28"/>
                <w:lang w:val="en-US" w:eastAsia="zh-CN"/>
              </w:rPr>
              <w:t>/</w:t>
            </w:r>
            <w:r>
              <w:rPr>
                <w:rFonts w:hint="eastAsia" w:ascii="Times New Roman" w:hAnsi="Times New Roman" w:eastAsia="方正仿宋_GBK" w:cs="Times New Roman"/>
                <w:sz w:val="28"/>
                <w:szCs w:val="28"/>
              </w:rPr>
              <w:t>T</w:t>
            </w:r>
            <w:r>
              <w:rPr>
                <w:rFonts w:hint="eastAsia"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rPr>
              <w:t>4264</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等相关高温熔融金属安全要求及</w:t>
            </w:r>
            <w:r>
              <w:rPr>
                <w:rFonts w:hint="eastAsia" w:ascii="Times New Roman" w:hAnsi="Times New Roman" w:eastAsia="方正仿宋_GBK"/>
                <w:sz w:val="28"/>
                <w:szCs w:val="28"/>
                <w:lang w:val="en-US" w:eastAsia="zh-CN"/>
              </w:rPr>
              <w:t>《无锡市工贸行业安全生产重点监督检查清单（试行）》</w:t>
            </w:r>
            <w:r>
              <w:rPr>
                <w:rFonts w:hint="eastAsia" w:ascii="Times New Roman" w:hAnsi="Times New Roman" w:eastAsia="方正仿宋_GBK" w:cs="Times New Roman"/>
                <w:sz w:val="28"/>
                <w:szCs w:val="28"/>
              </w:rPr>
              <w:t>中的有关事项，开展隐患排查治理工作</w:t>
            </w:r>
          </w:p>
        </w:tc>
      </w:tr>
      <w:tr w14:paraId="7764B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5" w:hRule="atLeast"/>
        </w:trPr>
        <w:tc>
          <w:tcPr>
            <w:tcW w:w="986" w:type="dxa"/>
            <w:vAlign w:val="center"/>
          </w:tcPr>
          <w:p w14:paraId="5E891B9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11</w:t>
            </w:r>
          </w:p>
        </w:tc>
        <w:tc>
          <w:tcPr>
            <w:tcW w:w="986" w:type="dxa"/>
            <w:vAlign w:val="center"/>
          </w:tcPr>
          <w:p w14:paraId="0520FA5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机械</w:t>
            </w:r>
          </w:p>
        </w:tc>
        <w:tc>
          <w:tcPr>
            <w:tcW w:w="3319" w:type="dxa"/>
            <w:vAlign w:val="center"/>
          </w:tcPr>
          <w:p w14:paraId="07250FB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rPr>
            </w:pPr>
            <w:r>
              <w:rPr>
                <w:rFonts w:hint="eastAsia" w:ascii="Times New Roman" w:hAnsi="Times New Roman" w:eastAsia="方正仿宋_GBK"/>
                <w:sz w:val="28"/>
              </w:rPr>
              <w:t>铸造用熔炼炉、精炼炉、保温炉</w:t>
            </w:r>
            <w:r>
              <w:rPr>
                <w:rFonts w:hint="eastAsia" w:ascii="Times New Roman" w:hAnsi="Times New Roman" w:eastAsia="方正仿宋_GBK"/>
                <w:sz w:val="28"/>
                <w:lang w:val="en-US" w:eastAsia="zh-CN"/>
              </w:rPr>
              <w:t>未</w:t>
            </w:r>
            <w:r>
              <w:rPr>
                <w:rFonts w:hint="eastAsia" w:ascii="Times New Roman" w:hAnsi="Times New Roman" w:eastAsia="方正仿宋_GBK"/>
                <w:sz w:val="28"/>
              </w:rPr>
              <w:t>设置紧急排放和应急储存设施</w:t>
            </w:r>
          </w:p>
        </w:tc>
        <w:tc>
          <w:tcPr>
            <w:tcW w:w="3195" w:type="dxa"/>
            <w:vAlign w:val="center"/>
          </w:tcPr>
          <w:p w14:paraId="1A8F3FD5">
            <w:pPr>
              <w:spacing w:line="400" w:lineRule="exact"/>
              <w:jc w:val="left"/>
              <w:rPr>
                <w:rFonts w:hint="eastAsia" w:ascii="Times New Roman" w:hAnsi="Times New Roman" w:eastAsia="方正仿宋_GBK"/>
                <w:sz w:val="28"/>
                <w:lang w:val="en-US" w:eastAsia="zh-CN"/>
              </w:rPr>
            </w:pPr>
            <w:r>
              <w:rPr>
                <w:rFonts w:hint="eastAsia" w:ascii="Times New Roman" w:hAnsi="Times New Roman" w:eastAsia="方正仿宋_GBK"/>
                <w:sz w:val="28"/>
              </w:rPr>
              <w:t>《中华人民共和国安全生产法》第三十六条</w:t>
            </w:r>
            <w:r>
              <w:rPr>
                <w:rFonts w:hint="eastAsia" w:ascii="Times New Roman" w:hAnsi="Times New Roman" w:eastAsia="方正仿宋_GBK"/>
                <w:sz w:val="28"/>
                <w:lang w:val="en-US" w:eastAsia="zh-CN"/>
              </w:rPr>
              <w:t>第一款</w:t>
            </w:r>
          </w:p>
          <w:p w14:paraId="414A7A9A">
            <w:pPr>
              <w:spacing w:line="400" w:lineRule="exact"/>
              <w:jc w:val="left"/>
              <w:rPr>
                <w:rFonts w:hint="eastAsia" w:ascii="Times New Roman" w:hAnsi="Times New Roman" w:eastAsia="方正仿宋_GBK"/>
                <w:sz w:val="28"/>
              </w:rPr>
            </w:pPr>
            <w:r>
              <w:rPr>
                <w:rFonts w:hint="eastAsia" w:ascii="Times New Roman" w:hAnsi="Times New Roman" w:eastAsia="方正仿宋_GBK"/>
                <w:sz w:val="28"/>
              </w:rPr>
              <w:t>《工贸企业重大事故隐患判定标准》第</w:t>
            </w:r>
            <w:r>
              <w:rPr>
                <w:rFonts w:hint="eastAsia" w:ascii="Times New Roman" w:hAnsi="Times New Roman" w:eastAsia="方正仿宋_GBK"/>
                <w:sz w:val="28"/>
                <w:lang w:val="en-US" w:eastAsia="zh-CN"/>
              </w:rPr>
              <w:t>七</w:t>
            </w:r>
            <w:r>
              <w:rPr>
                <w:rFonts w:hint="eastAsia" w:ascii="Times New Roman" w:hAnsi="Times New Roman" w:eastAsia="方正仿宋_GBK"/>
                <w:sz w:val="28"/>
              </w:rPr>
              <w:t>第</w:t>
            </w:r>
            <w:r>
              <w:rPr>
                <w:rFonts w:hint="eastAsia" w:ascii="Times New Roman" w:hAnsi="Times New Roman" w:eastAsia="方正仿宋_GBK"/>
                <w:sz w:val="28"/>
                <w:lang w:val="en-US" w:eastAsia="zh-CN"/>
              </w:rPr>
              <w:t>二</w:t>
            </w:r>
            <w:r>
              <w:rPr>
                <w:rFonts w:hint="eastAsia" w:ascii="Times New Roman" w:hAnsi="Times New Roman" w:eastAsia="方正仿宋_GBK"/>
                <w:sz w:val="28"/>
              </w:rPr>
              <w:t>项</w:t>
            </w:r>
          </w:p>
          <w:p w14:paraId="103FB3A8">
            <w:pPr>
              <w:pStyle w:val="2"/>
              <w:rPr>
                <w:rFonts w:hint="default"/>
              </w:rPr>
            </w:pPr>
          </w:p>
        </w:tc>
        <w:tc>
          <w:tcPr>
            <w:tcW w:w="1605" w:type="dxa"/>
            <w:vAlign w:val="center"/>
          </w:tcPr>
          <w:p w14:paraId="4FC3C45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sz w:val="28"/>
                <w:lang w:val="en-US" w:eastAsia="zh-CN"/>
              </w:rPr>
            </w:pPr>
            <w:r>
              <w:rPr>
                <w:rFonts w:hint="eastAsia" w:ascii="方正仿宋_GBK" w:hAnsi="方正仿宋_GBK" w:eastAsia="方正仿宋_GBK" w:cs="方正仿宋_GBK"/>
                <w:sz w:val="28"/>
                <w:lang w:val="en-US" w:eastAsia="zh-CN"/>
              </w:rPr>
              <w:t>★</w:t>
            </w:r>
          </w:p>
        </w:tc>
        <w:tc>
          <w:tcPr>
            <w:tcW w:w="3015" w:type="dxa"/>
            <w:vAlign w:val="center"/>
          </w:tcPr>
          <w:p w14:paraId="5C65C7E9">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Times New Roman" w:hAnsi="Times New Roman" w:eastAsia="宋体" w:cs="Times New Roman"/>
                <w:color w:val="E54C5E" w:themeColor="accent6"/>
                <w:sz w:val="28"/>
                <w:szCs w:val="28"/>
                <w:lang w:eastAsia="zh-CN"/>
                <w14:textFill>
                  <w14:solidFill>
                    <w14:schemeClr w14:val="accent6"/>
                  </w14:solidFill>
                </w14:textFill>
              </w:rPr>
            </w:pPr>
            <w:r>
              <w:rPr>
                <w:rFonts w:hint="eastAsia" w:ascii="Times New Roman" w:hAnsi="Times New Roman" w:eastAsia="方正仿宋_GBK" w:cs="Times New Roman"/>
                <w:sz w:val="28"/>
                <w:szCs w:val="28"/>
                <w:lang w:val="en-US" w:eastAsia="zh-CN"/>
              </w:rPr>
              <w:t>对照</w:t>
            </w:r>
            <w:r>
              <w:rPr>
                <w:rFonts w:hint="eastAsia" w:ascii="Times New Roman" w:hAnsi="Times New Roman" w:eastAsia="方正仿宋_GBK" w:cs="Times New Roman"/>
                <w:sz w:val="28"/>
                <w:szCs w:val="28"/>
                <w:lang w:eastAsia="zh-CN"/>
              </w:rPr>
              <w:t>《高温熔融金属吊运安全规程》（AQ 7011）、《</w:t>
            </w:r>
            <w:r>
              <w:rPr>
                <w:rFonts w:hint="eastAsia" w:ascii="Times New Roman" w:hAnsi="Times New Roman" w:eastAsia="方正仿宋_GBK" w:cs="Times New Roman"/>
                <w:sz w:val="28"/>
                <w:szCs w:val="28"/>
              </w:rPr>
              <w:t>金属冶炼企业中频炉使用安全技术规范</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DB32</w:t>
            </w:r>
            <w:r>
              <w:rPr>
                <w:rFonts w:hint="eastAsia" w:ascii="Times New Roman" w:hAnsi="Times New Roman" w:eastAsia="方正仿宋_GBK" w:cs="Times New Roman"/>
                <w:sz w:val="28"/>
                <w:szCs w:val="28"/>
                <w:lang w:val="en-US" w:eastAsia="zh-CN"/>
              </w:rPr>
              <w:t>/</w:t>
            </w:r>
            <w:r>
              <w:rPr>
                <w:rFonts w:hint="eastAsia" w:ascii="Times New Roman" w:hAnsi="Times New Roman" w:eastAsia="方正仿宋_GBK" w:cs="Times New Roman"/>
                <w:sz w:val="28"/>
                <w:szCs w:val="28"/>
              </w:rPr>
              <w:t>T</w:t>
            </w:r>
            <w:r>
              <w:rPr>
                <w:rFonts w:hint="eastAsia"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rPr>
              <w:t>4264</w:t>
            </w:r>
            <w:r>
              <w:rPr>
                <w:rFonts w:hint="eastAsia" w:ascii="Times New Roman" w:hAnsi="Times New Roman" w:eastAsia="方正仿宋_GBK" w:cs="Times New Roman"/>
                <w:sz w:val="28"/>
                <w:szCs w:val="28"/>
                <w:lang w:eastAsia="zh-CN"/>
              </w:rPr>
              <w:t>）</w:t>
            </w:r>
            <w:r>
              <w:rPr>
                <w:rFonts w:hint="eastAsia" w:ascii="Times New Roman" w:hAnsi="Times New Roman" w:eastAsia="方正仿宋_GBK" w:cs="Times New Roman"/>
                <w:sz w:val="28"/>
                <w:szCs w:val="28"/>
              </w:rPr>
              <w:t>等相关高温熔融金属安全要求及</w:t>
            </w:r>
            <w:r>
              <w:rPr>
                <w:rFonts w:hint="eastAsia" w:ascii="Times New Roman" w:hAnsi="Times New Roman" w:eastAsia="方正仿宋_GBK"/>
                <w:sz w:val="28"/>
                <w:szCs w:val="28"/>
                <w:lang w:val="en-US" w:eastAsia="zh-CN"/>
              </w:rPr>
              <w:t>《无锡市工贸行业安全生产重点监督检查清单（试行）》</w:t>
            </w:r>
            <w:r>
              <w:rPr>
                <w:rFonts w:hint="eastAsia" w:ascii="Times New Roman" w:hAnsi="Times New Roman" w:eastAsia="方正仿宋_GBK" w:cs="Times New Roman"/>
                <w:sz w:val="28"/>
                <w:szCs w:val="28"/>
              </w:rPr>
              <w:t>中的有关事项，开展隐患排查治理工作</w:t>
            </w:r>
          </w:p>
        </w:tc>
      </w:tr>
      <w:tr w14:paraId="061D4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0" w:hRule="atLeast"/>
        </w:trPr>
        <w:tc>
          <w:tcPr>
            <w:tcW w:w="986" w:type="dxa"/>
            <w:vAlign w:val="center"/>
          </w:tcPr>
          <w:p w14:paraId="383DF29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12</w:t>
            </w:r>
          </w:p>
        </w:tc>
        <w:tc>
          <w:tcPr>
            <w:tcW w:w="986" w:type="dxa"/>
            <w:vAlign w:val="center"/>
          </w:tcPr>
          <w:p w14:paraId="67BF69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sz w:val="28"/>
              </w:rPr>
              <w:t>涉爆粉尘</w:t>
            </w:r>
          </w:p>
        </w:tc>
        <w:tc>
          <w:tcPr>
            <w:tcW w:w="3319" w:type="dxa"/>
            <w:shd w:val="clear" w:color="auto" w:fill="auto"/>
            <w:vAlign w:val="center"/>
          </w:tcPr>
          <w:p w14:paraId="2C08F68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heme="minorBidi"/>
                <w:kern w:val="2"/>
                <w:sz w:val="28"/>
                <w:szCs w:val="24"/>
                <w:lang w:val="en-US" w:eastAsia="zh-CN" w:bidi="ar-SA"/>
              </w:rPr>
            </w:pPr>
            <w:r>
              <w:rPr>
                <w:rFonts w:hint="eastAsia" w:ascii="Times New Roman" w:hAnsi="Times New Roman" w:eastAsia="方正仿宋_GBK"/>
                <w:sz w:val="28"/>
              </w:rPr>
              <w:t>未落实粉尘清理制度，造成作业现场积尘严重</w:t>
            </w:r>
          </w:p>
        </w:tc>
        <w:tc>
          <w:tcPr>
            <w:tcW w:w="3195" w:type="dxa"/>
            <w:shd w:val="clear" w:color="auto" w:fill="auto"/>
            <w:vAlign w:val="center"/>
          </w:tcPr>
          <w:p w14:paraId="31E2994D">
            <w:pPr>
              <w:spacing w:line="400" w:lineRule="exact"/>
              <w:jc w:val="left"/>
              <w:rPr>
                <w:rFonts w:hint="eastAsia" w:ascii="Times New Roman" w:hAnsi="Times New Roman" w:eastAsia="方正仿宋_GBK"/>
                <w:sz w:val="28"/>
              </w:rPr>
            </w:pPr>
            <w:r>
              <w:rPr>
                <w:rFonts w:hint="eastAsia" w:ascii="Times New Roman" w:hAnsi="Times New Roman" w:eastAsia="方正仿宋_GBK"/>
                <w:sz w:val="28"/>
              </w:rPr>
              <w:t>《中华人民共和国安全生产法》第四十一条第二款</w:t>
            </w:r>
          </w:p>
          <w:p w14:paraId="2BBE9E1C">
            <w:pPr>
              <w:spacing w:line="400" w:lineRule="exact"/>
              <w:jc w:val="left"/>
            </w:pPr>
            <w:r>
              <w:rPr>
                <w:rFonts w:hint="eastAsia" w:ascii="Times New Roman" w:hAnsi="Times New Roman" w:eastAsia="方正仿宋_GBK"/>
                <w:sz w:val="28"/>
              </w:rPr>
              <w:t>《工贸企业重大事故隐患判定标准》第十一条第十项</w:t>
            </w:r>
          </w:p>
          <w:p w14:paraId="18526C3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heme="minorBidi"/>
                <w:kern w:val="2"/>
                <w:sz w:val="28"/>
                <w:szCs w:val="24"/>
                <w:lang w:val="en-US" w:eastAsia="zh-CN" w:bidi="ar-SA"/>
              </w:rPr>
            </w:pPr>
            <w:r>
              <w:rPr>
                <w:rFonts w:hint="eastAsia" w:ascii="Times New Roman" w:hAnsi="Times New Roman" w:eastAsia="方正仿宋_GBK"/>
                <w:sz w:val="28"/>
              </w:rPr>
              <w:t>《工贸企业粉尘防爆安全规定》第十八条第一款</w:t>
            </w:r>
          </w:p>
        </w:tc>
        <w:tc>
          <w:tcPr>
            <w:tcW w:w="1605" w:type="dxa"/>
            <w:shd w:val="clear" w:color="auto" w:fill="auto"/>
            <w:vAlign w:val="center"/>
          </w:tcPr>
          <w:p w14:paraId="3F1056D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cstheme="minorBidi"/>
                <w:kern w:val="2"/>
                <w:sz w:val="28"/>
                <w:szCs w:val="24"/>
                <w:lang w:val="en-US" w:eastAsia="zh-CN" w:bidi="ar-SA"/>
              </w:rPr>
            </w:pPr>
            <w:r>
              <w:rPr>
                <w:rFonts w:hint="eastAsia" w:ascii="方正仿宋_GBK" w:hAnsi="方正仿宋_GBK" w:eastAsia="方正仿宋_GBK" w:cs="方正仿宋_GBK"/>
                <w:sz w:val="28"/>
                <w:lang w:val="en-US" w:eastAsia="zh-CN"/>
              </w:rPr>
              <w:t>★★</w:t>
            </w:r>
          </w:p>
        </w:tc>
        <w:tc>
          <w:tcPr>
            <w:tcW w:w="3015" w:type="dxa"/>
            <w:vAlign w:val="center"/>
          </w:tcPr>
          <w:p w14:paraId="4322A450">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cs="Times New Roman"/>
                <w:sz w:val="32"/>
                <w:szCs w:val="32"/>
                <w:vertAlign w:val="baseline"/>
              </w:rPr>
            </w:pPr>
            <w:r>
              <w:rPr>
                <w:rFonts w:hint="eastAsia" w:ascii="Times New Roman" w:hAnsi="Times New Roman" w:eastAsia="方正仿宋_GBK" w:cs="Times New Roman"/>
                <w:sz w:val="28"/>
                <w:szCs w:val="28"/>
                <w:lang w:eastAsia="zh-CN"/>
              </w:rPr>
              <w:t>对照《工贸企业粉尘防爆安全规定》（应急</w:t>
            </w:r>
            <w:r>
              <w:rPr>
                <w:rFonts w:hint="eastAsia" w:ascii="Times New Roman" w:hAnsi="Times New Roman" w:eastAsia="方正仿宋_GBK" w:cs="Times New Roman"/>
                <w:sz w:val="28"/>
                <w:szCs w:val="28"/>
                <w:lang w:val="en-US" w:eastAsia="zh-CN"/>
              </w:rPr>
              <w:t>管理</w:t>
            </w:r>
            <w:r>
              <w:rPr>
                <w:rFonts w:hint="eastAsia" w:ascii="Times New Roman" w:hAnsi="Times New Roman" w:eastAsia="方正仿宋_GBK" w:cs="Times New Roman"/>
                <w:sz w:val="28"/>
                <w:szCs w:val="28"/>
                <w:lang w:eastAsia="zh-CN"/>
              </w:rPr>
              <w:t>部6号令）、《粉尘防爆安全规程》（GB 15577）、《粉尘爆炸危险场所用除尘系统安全技术规范》(AQ 4273)等相关粉尘防爆安全要求及</w:t>
            </w:r>
            <w:r>
              <w:rPr>
                <w:rFonts w:hint="eastAsia" w:ascii="Times New Roman" w:hAnsi="Times New Roman" w:eastAsia="方正仿宋_GBK"/>
                <w:sz w:val="28"/>
                <w:szCs w:val="28"/>
                <w:lang w:val="en-US" w:eastAsia="zh-CN"/>
              </w:rPr>
              <w:t>《无锡市工贸行业安全生产重点监督检查清单（试行）》</w:t>
            </w:r>
            <w:r>
              <w:rPr>
                <w:rFonts w:hint="eastAsia" w:ascii="Times New Roman" w:hAnsi="Times New Roman" w:eastAsia="方正仿宋_GBK" w:cs="Times New Roman"/>
                <w:sz w:val="28"/>
                <w:szCs w:val="28"/>
                <w:lang w:eastAsia="zh-CN"/>
              </w:rPr>
              <w:t>中的有关事项，开展隐患排查治理工作</w:t>
            </w:r>
          </w:p>
        </w:tc>
      </w:tr>
      <w:tr w14:paraId="53AA2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6" w:hRule="atLeast"/>
        </w:trPr>
        <w:tc>
          <w:tcPr>
            <w:tcW w:w="986" w:type="dxa"/>
            <w:vAlign w:val="center"/>
          </w:tcPr>
          <w:p w14:paraId="3FECF37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13</w:t>
            </w:r>
          </w:p>
        </w:tc>
        <w:tc>
          <w:tcPr>
            <w:tcW w:w="986" w:type="dxa"/>
            <w:vMerge w:val="restart"/>
            <w:vAlign w:val="center"/>
          </w:tcPr>
          <w:p w14:paraId="037B05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sz w:val="28"/>
              </w:rPr>
              <w:t>涉爆粉尘</w:t>
            </w:r>
          </w:p>
        </w:tc>
        <w:tc>
          <w:tcPr>
            <w:tcW w:w="3319" w:type="dxa"/>
            <w:vAlign w:val="center"/>
          </w:tcPr>
          <w:p w14:paraId="16676F0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rPr>
            </w:pPr>
            <w:r>
              <w:rPr>
                <w:rFonts w:hint="eastAsia" w:ascii="Times New Roman" w:hAnsi="Times New Roman" w:eastAsia="方正仿宋_GBK"/>
                <w:sz w:val="28"/>
              </w:rPr>
              <w:t>除尘器、收尘仓等划分为20区的粉尘爆炸危险场所电气设备不符合防爆要求</w:t>
            </w:r>
          </w:p>
        </w:tc>
        <w:tc>
          <w:tcPr>
            <w:tcW w:w="3195" w:type="dxa"/>
            <w:vAlign w:val="center"/>
          </w:tcPr>
          <w:p w14:paraId="7A79AC42">
            <w:pPr>
              <w:spacing w:line="400" w:lineRule="exact"/>
              <w:jc w:val="left"/>
              <w:rPr>
                <w:rFonts w:ascii="Times New Roman" w:hAnsi="Times New Roman" w:eastAsia="方正仿宋_GBK"/>
                <w:sz w:val="28"/>
              </w:rPr>
            </w:pPr>
          </w:p>
          <w:p w14:paraId="239BEF6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p w14:paraId="38F3CA4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rPr>
            </w:pPr>
            <w:r>
              <w:rPr>
                <w:rFonts w:hint="eastAsia" w:ascii="Times New Roman" w:hAnsi="Times New Roman" w:eastAsia="方正仿宋_GBK"/>
                <w:sz w:val="28"/>
              </w:rPr>
              <w:t>《工贸企业重大事故隐患判定标准》第十一条第七项</w:t>
            </w:r>
          </w:p>
        </w:tc>
        <w:tc>
          <w:tcPr>
            <w:tcW w:w="1605" w:type="dxa"/>
            <w:vAlign w:val="center"/>
          </w:tcPr>
          <w:p w14:paraId="77DBFC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sz w:val="28"/>
                <w:lang w:val="en-US" w:eastAsia="zh-CN"/>
              </w:rPr>
            </w:pPr>
            <w:r>
              <w:rPr>
                <w:rFonts w:hint="eastAsia" w:ascii="方正仿宋_GBK" w:hAnsi="方正仿宋_GBK" w:eastAsia="方正仿宋_GBK" w:cs="方正仿宋_GBK"/>
                <w:sz w:val="28"/>
                <w:lang w:val="en-US" w:eastAsia="zh-CN"/>
              </w:rPr>
              <w:t>★★</w:t>
            </w:r>
          </w:p>
        </w:tc>
        <w:tc>
          <w:tcPr>
            <w:tcW w:w="3015" w:type="dxa"/>
            <w:vAlign w:val="center"/>
          </w:tcPr>
          <w:p w14:paraId="61B4E05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sz w:val="32"/>
                <w:szCs w:val="32"/>
                <w:vertAlign w:val="baseline"/>
              </w:rPr>
            </w:pPr>
            <w:r>
              <w:rPr>
                <w:rFonts w:hint="eastAsia" w:ascii="Times New Roman" w:hAnsi="Times New Roman" w:eastAsia="方正仿宋_GBK" w:cs="Times New Roman"/>
                <w:sz w:val="28"/>
                <w:szCs w:val="28"/>
                <w:lang w:eastAsia="zh-CN"/>
              </w:rPr>
              <w:t>对照《工贸企业粉尘防爆安全规定》（应急</w:t>
            </w:r>
            <w:r>
              <w:rPr>
                <w:rFonts w:hint="eastAsia" w:ascii="Times New Roman" w:hAnsi="Times New Roman" w:eastAsia="方正仿宋_GBK" w:cs="Times New Roman"/>
                <w:sz w:val="28"/>
                <w:szCs w:val="28"/>
                <w:lang w:val="en-US" w:eastAsia="zh-CN"/>
              </w:rPr>
              <w:t>管理</w:t>
            </w:r>
            <w:r>
              <w:rPr>
                <w:rFonts w:hint="eastAsia" w:ascii="Times New Roman" w:hAnsi="Times New Roman" w:eastAsia="方正仿宋_GBK" w:cs="Times New Roman"/>
                <w:sz w:val="28"/>
                <w:szCs w:val="28"/>
                <w:lang w:eastAsia="zh-CN"/>
              </w:rPr>
              <w:t>部6号令）、《粉尘防爆安全规程》（GB 15577）、《粉尘爆炸危险场所用除尘系统安全技术规范》(AQ 4273)等相关粉尘防爆安全要求及</w:t>
            </w:r>
            <w:r>
              <w:rPr>
                <w:rFonts w:hint="eastAsia" w:ascii="Times New Roman" w:hAnsi="Times New Roman" w:eastAsia="方正仿宋_GBK"/>
                <w:sz w:val="28"/>
                <w:szCs w:val="28"/>
                <w:lang w:val="en-US" w:eastAsia="zh-CN"/>
              </w:rPr>
              <w:t>《无锡市工贸行业安全生产重点监督检查清单（试行）》</w:t>
            </w:r>
            <w:r>
              <w:rPr>
                <w:rFonts w:hint="eastAsia" w:ascii="Times New Roman" w:hAnsi="Times New Roman" w:eastAsia="方正仿宋_GBK" w:cs="Times New Roman"/>
                <w:sz w:val="28"/>
                <w:szCs w:val="28"/>
                <w:lang w:eastAsia="zh-CN"/>
              </w:rPr>
              <w:t>中的有关事项，开展隐患排查治理工作</w:t>
            </w:r>
          </w:p>
        </w:tc>
      </w:tr>
      <w:tr w14:paraId="02C85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986" w:type="dxa"/>
            <w:vAlign w:val="center"/>
          </w:tcPr>
          <w:p w14:paraId="36C87CE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14</w:t>
            </w:r>
          </w:p>
        </w:tc>
        <w:tc>
          <w:tcPr>
            <w:tcW w:w="986" w:type="dxa"/>
            <w:vMerge w:val="continue"/>
            <w:vAlign w:val="center"/>
          </w:tcPr>
          <w:p w14:paraId="171EE91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 w:val="32"/>
                <w:szCs w:val="32"/>
                <w:vertAlign w:val="baseline"/>
                <w:lang w:val="en-US" w:eastAsia="zh-CN"/>
              </w:rPr>
            </w:pPr>
          </w:p>
        </w:tc>
        <w:tc>
          <w:tcPr>
            <w:tcW w:w="3319" w:type="dxa"/>
            <w:shd w:val="clear" w:color="auto" w:fill="auto"/>
            <w:vAlign w:val="center"/>
          </w:tcPr>
          <w:p w14:paraId="0514544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heme="minorBidi"/>
                <w:kern w:val="2"/>
                <w:sz w:val="28"/>
                <w:szCs w:val="24"/>
                <w:lang w:val="en-US" w:eastAsia="zh-CN" w:bidi="ar-SA"/>
              </w:rPr>
            </w:pPr>
            <w:r>
              <w:rPr>
                <w:rFonts w:hint="eastAsia" w:ascii="Times New Roman" w:hAnsi="Times New Roman" w:eastAsia="方正仿宋_GBK"/>
                <w:sz w:val="28"/>
              </w:rPr>
              <w:t>干式除尘系统未采取泄爆、惰化、抑爆等任一种爆炸防控措施</w:t>
            </w:r>
          </w:p>
        </w:tc>
        <w:tc>
          <w:tcPr>
            <w:tcW w:w="3195" w:type="dxa"/>
            <w:shd w:val="clear" w:color="auto" w:fill="auto"/>
            <w:vAlign w:val="center"/>
          </w:tcPr>
          <w:p w14:paraId="58385DD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sz w:val="28"/>
              </w:rPr>
            </w:pPr>
            <w:r>
              <w:rPr>
                <w:rFonts w:hint="eastAsia" w:ascii="Times New Roman" w:hAnsi="Times New Roman" w:eastAsia="方正仿宋_GBK"/>
                <w:sz w:val="28"/>
              </w:rPr>
              <w:t>《中华人民共和国安全生产法》第三十六条第一款</w:t>
            </w:r>
          </w:p>
          <w:p w14:paraId="619986B4">
            <w:pPr>
              <w:spacing w:line="400" w:lineRule="exact"/>
              <w:jc w:val="left"/>
              <w:rPr>
                <w:rFonts w:hint="eastAsia"/>
                <w:lang w:val="en-US" w:eastAsia="zh-CN"/>
              </w:rPr>
            </w:pPr>
            <w:r>
              <w:rPr>
                <w:rFonts w:hint="eastAsia" w:ascii="Times New Roman" w:hAnsi="Times New Roman" w:eastAsia="方正仿宋_GBK"/>
                <w:sz w:val="28"/>
              </w:rPr>
              <w:t>《工贸企业重大事故隐患判定标准》第十一条第三项</w:t>
            </w:r>
          </w:p>
        </w:tc>
        <w:tc>
          <w:tcPr>
            <w:tcW w:w="1605" w:type="dxa"/>
            <w:vAlign w:val="center"/>
          </w:tcPr>
          <w:p w14:paraId="6BA358C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sz w:val="28"/>
                <w:lang w:val="en-US" w:eastAsia="zh-CN"/>
              </w:rPr>
            </w:pPr>
            <w:r>
              <w:rPr>
                <w:rFonts w:hint="eastAsia" w:ascii="方正仿宋_GBK" w:hAnsi="方正仿宋_GBK" w:eastAsia="方正仿宋_GBK" w:cs="方正仿宋_GBK"/>
                <w:sz w:val="28"/>
                <w:lang w:val="en-US" w:eastAsia="zh-CN"/>
              </w:rPr>
              <w:t>★</w:t>
            </w:r>
          </w:p>
        </w:tc>
        <w:tc>
          <w:tcPr>
            <w:tcW w:w="3015" w:type="dxa"/>
            <w:vAlign w:val="center"/>
          </w:tcPr>
          <w:p w14:paraId="146FD5FB">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sz w:val="28"/>
                <w:lang w:val="en-US" w:eastAsia="zh-CN"/>
              </w:rPr>
            </w:pPr>
            <w:r>
              <w:rPr>
                <w:rFonts w:hint="eastAsia" w:ascii="Times New Roman" w:hAnsi="Times New Roman" w:eastAsia="方正仿宋_GBK"/>
                <w:sz w:val="28"/>
                <w:lang w:val="en-US" w:eastAsia="zh-CN"/>
              </w:rPr>
              <w:t>对照《工贸企业粉尘防爆安全规定》（应急管理部6号令）、《粉尘防爆安全规程》（GB 15577）、《粉尘爆炸危险场所用除尘系统安全技术规范》(AQ 4273)等相关粉尘防爆安全要求及</w:t>
            </w:r>
            <w:r>
              <w:rPr>
                <w:rFonts w:hint="eastAsia" w:ascii="Times New Roman" w:hAnsi="Times New Roman" w:eastAsia="方正仿宋_GBK"/>
                <w:sz w:val="28"/>
                <w:szCs w:val="28"/>
                <w:lang w:val="en-US" w:eastAsia="zh-CN"/>
              </w:rPr>
              <w:t>《无锡市工贸行业安全生产重点监督检查清单（试行）》</w:t>
            </w:r>
            <w:r>
              <w:rPr>
                <w:rFonts w:hint="eastAsia" w:ascii="Times New Roman" w:hAnsi="Times New Roman" w:eastAsia="方正仿宋_GBK"/>
                <w:sz w:val="28"/>
                <w:lang w:val="en-US" w:eastAsia="zh-CN"/>
              </w:rPr>
              <w:t>中的有关事项，开展隐患排查治理工作</w:t>
            </w:r>
          </w:p>
        </w:tc>
      </w:tr>
      <w:tr w14:paraId="6567A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986" w:type="dxa"/>
            <w:vAlign w:val="center"/>
          </w:tcPr>
          <w:p w14:paraId="7BA920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vertAlign w:val="baseline"/>
                <w:lang w:val="en-US" w:eastAsia="zh-CN"/>
              </w:rPr>
            </w:pPr>
            <w:r>
              <w:rPr>
                <w:rFonts w:hint="eastAsia" w:ascii="Times New Roman" w:hAnsi="Times New Roman" w:eastAsia="方正仿宋_GBK" w:cs="Times New Roman"/>
                <w:sz w:val="32"/>
                <w:szCs w:val="32"/>
                <w:vertAlign w:val="baseline"/>
                <w:lang w:val="en-US" w:eastAsia="zh-CN"/>
              </w:rPr>
              <w:t>15</w:t>
            </w:r>
          </w:p>
        </w:tc>
        <w:tc>
          <w:tcPr>
            <w:tcW w:w="986" w:type="dxa"/>
            <w:vAlign w:val="center"/>
          </w:tcPr>
          <w:p w14:paraId="0345AA0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b/>
                <w:bCs/>
                <w:sz w:val="28"/>
              </w:rPr>
            </w:pPr>
            <w:r>
              <w:rPr>
                <w:rFonts w:hint="eastAsia" w:ascii="Times New Roman" w:hAnsi="Times New Roman" w:eastAsia="方正仿宋_GBK"/>
                <w:sz w:val="28"/>
              </w:rPr>
              <w:t>使用危险化学品</w:t>
            </w:r>
          </w:p>
        </w:tc>
        <w:tc>
          <w:tcPr>
            <w:tcW w:w="3319" w:type="dxa"/>
            <w:shd w:val="clear" w:color="auto" w:fill="auto"/>
            <w:vAlign w:val="center"/>
          </w:tcPr>
          <w:p w14:paraId="341D72C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heme="minorBidi"/>
                <w:kern w:val="2"/>
                <w:sz w:val="28"/>
                <w:szCs w:val="24"/>
                <w:lang w:val="en-US" w:eastAsia="zh-CN" w:bidi="ar-SA"/>
              </w:rPr>
            </w:pPr>
            <w:r>
              <w:rPr>
                <w:rFonts w:hint="eastAsia" w:ascii="Times New Roman" w:hAnsi="Times New Roman" w:eastAsia="方正仿宋_GBK"/>
                <w:sz w:val="28"/>
              </w:rPr>
              <w:t>储存、使用危险物品未采取可靠的安全措施</w:t>
            </w:r>
          </w:p>
        </w:tc>
        <w:tc>
          <w:tcPr>
            <w:tcW w:w="3195" w:type="dxa"/>
            <w:shd w:val="clear" w:color="auto" w:fill="auto"/>
            <w:vAlign w:val="center"/>
          </w:tcPr>
          <w:p w14:paraId="79B70D7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Times New Roman" w:hAnsi="Times New Roman" w:eastAsia="方正仿宋_GBK" w:cstheme="minorBidi"/>
                <w:kern w:val="2"/>
                <w:sz w:val="28"/>
                <w:szCs w:val="24"/>
                <w:lang w:val="en-US" w:eastAsia="zh-CN" w:bidi="ar-SA"/>
              </w:rPr>
            </w:pPr>
            <w:r>
              <w:rPr>
                <w:rFonts w:hint="eastAsia" w:ascii="Times New Roman" w:hAnsi="Times New Roman" w:eastAsia="方正仿宋_GBK"/>
                <w:sz w:val="28"/>
              </w:rPr>
              <w:t>《中华人民共和国安全生产法》第三十九条第二款</w:t>
            </w:r>
          </w:p>
        </w:tc>
        <w:tc>
          <w:tcPr>
            <w:tcW w:w="1605" w:type="dxa"/>
            <w:shd w:val="clear" w:color="auto" w:fill="auto"/>
            <w:vAlign w:val="center"/>
          </w:tcPr>
          <w:p w14:paraId="7F583D2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imes New Roman" w:hAnsi="Times New Roman" w:eastAsia="方正仿宋_GBK" w:cstheme="minorBidi"/>
                <w:kern w:val="2"/>
                <w:sz w:val="28"/>
                <w:szCs w:val="24"/>
                <w:lang w:val="en-US" w:eastAsia="zh-CN" w:bidi="ar-SA"/>
              </w:rPr>
            </w:pPr>
            <w:r>
              <w:rPr>
                <w:rFonts w:hint="eastAsia" w:ascii="方正仿宋_GBK" w:hAnsi="方正仿宋_GBK" w:eastAsia="方正仿宋_GBK" w:cs="方正仿宋_GBK"/>
                <w:sz w:val="28"/>
                <w:lang w:val="en-US" w:eastAsia="zh-CN"/>
              </w:rPr>
              <w:t>★★★</w:t>
            </w:r>
          </w:p>
        </w:tc>
        <w:tc>
          <w:tcPr>
            <w:tcW w:w="3015" w:type="dxa"/>
            <w:vAlign w:val="center"/>
          </w:tcPr>
          <w:p w14:paraId="28704F0C">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方正仿宋_GBK"/>
                <w:sz w:val="28"/>
                <w:lang w:val="en-US" w:eastAsia="zh-CN"/>
              </w:rPr>
            </w:pPr>
            <w:r>
              <w:rPr>
                <w:rFonts w:hint="eastAsia" w:ascii="Times New Roman" w:hAnsi="Times New Roman" w:eastAsia="方正仿宋_GBK"/>
                <w:sz w:val="28"/>
                <w:szCs w:val="28"/>
                <w:lang w:val="en-US" w:eastAsia="zh-CN"/>
              </w:rPr>
              <w:t>对照相应MSDS、《易燃易爆性商品储存养护技术条件（GB 17914）、《</w:t>
            </w:r>
            <w:r>
              <w:rPr>
                <w:rFonts w:hint="default" w:ascii="Times New Roman" w:hAnsi="Times New Roman" w:eastAsia="方正仿宋_GBK"/>
                <w:sz w:val="28"/>
                <w:szCs w:val="28"/>
                <w:lang w:val="en-US" w:eastAsia="zh-CN"/>
              </w:rPr>
              <w:t>腐蚀性商品储存养护技术条件</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lang w:val="en-US" w:eastAsia="zh-CN"/>
              </w:rPr>
              <w:t>GB 17915</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lang w:val="en-US" w:eastAsia="zh-CN"/>
              </w:rPr>
              <w:t>毒害性商品储存养护技术条件</w:t>
            </w:r>
            <w:r>
              <w:rPr>
                <w:rFonts w:hint="eastAsia" w:ascii="Times New Roman" w:hAnsi="Times New Roman" w:eastAsia="方正仿宋_GBK"/>
                <w:sz w:val="28"/>
                <w:szCs w:val="28"/>
                <w:lang w:val="en-US" w:eastAsia="zh-CN"/>
              </w:rPr>
              <w:t>》（</w:t>
            </w:r>
            <w:r>
              <w:rPr>
                <w:rFonts w:hint="default" w:ascii="Times New Roman" w:hAnsi="Times New Roman" w:eastAsia="方正仿宋_GBK"/>
                <w:sz w:val="28"/>
                <w:szCs w:val="28"/>
                <w:lang w:val="en-US" w:eastAsia="zh-CN"/>
              </w:rPr>
              <w:t>GB 17916</w:t>
            </w:r>
            <w:r>
              <w:rPr>
                <w:rFonts w:hint="eastAsia" w:ascii="Times New Roman" w:hAnsi="Times New Roman" w:eastAsia="方正仿宋_GBK"/>
                <w:sz w:val="28"/>
                <w:szCs w:val="28"/>
                <w:lang w:val="en-US" w:eastAsia="zh-CN"/>
              </w:rPr>
              <w:t>）、《建筑防火通用规范》（GB55037）等及《无锡市工贸行业安全生产重点监督检查清单（试行）》</w:t>
            </w:r>
            <w:r>
              <w:rPr>
                <w:rFonts w:hint="default" w:ascii="Times New Roman" w:hAnsi="Times New Roman" w:eastAsia="方正仿宋_GBK"/>
                <w:sz w:val="28"/>
                <w:szCs w:val="28"/>
                <w:lang w:val="en-US" w:eastAsia="zh-CN"/>
              </w:rPr>
              <w:t>中的有关事项，开展隐患排查治理工作</w:t>
            </w:r>
          </w:p>
        </w:tc>
      </w:tr>
    </w:tbl>
    <w:p w14:paraId="44017ACF">
      <w:pPr>
        <w:pStyle w:val="2"/>
        <w:rPr>
          <w:rFonts w:hint="eastAsia"/>
        </w:rPr>
      </w:pPr>
    </w:p>
    <w:p w14:paraId="32435C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备注：该清单未涵盖所有安全生产违法违规行为。</w:t>
      </w:r>
    </w:p>
    <w:p w14:paraId="490E03A7">
      <w:pPr>
        <w:pStyle w:val="2"/>
        <w:rPr>
          <w:rFonts w:hint="eastAsia" w:ascii="方正仿宋_GBK" w:hAnsi="方正仿宋_GBK" w:eastAsia="方正仿宋_GBK" w:cs="方正仿宋_GBK"/>
          <w:sz w:val="32"/>
          <w:szCs w:val="32"/>
          <w:lang w:val="en-US" w:eastAsia="zh-CN"/>
        </w:rPr>
      </w:pPr>
    </w:p>
    <w:p w14:paraId="67FBFB77">
      <w:pPr>
        <w:rPr>
          <w:rFonts w:hint="default"/>
          <w:lang w:val="en-US" w:eastAsia="zh-CN"/>
        </w:rPr>
      </w:pPr>
    </w:p>
    <w:sectPr>
      <w:pgSz w:w="16838" w:h="11906" w:orient="landscape"/>
      <w:pgMar w:top="1588" w:right="2098" w:bottom="1474" w:left="198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455AD9"/>
    <w:rsid w:val="057F4594"/>
    <w:rsid w:val="05946D18"/>
    <w:rsid w:val="0865674A"/>
    <w:rsid w:val="08BB229D"/>
    <w:rsid w:val="090C4E18"/>
    <w:rsid w:val="0E673EB5"/>
    <w:rsid w:val="11000A8C"/>
    <w:rsid w:val="116B51A7"/>
    <w:rsid w:val="138D7B40"/>
    <w:rsid w:val="14C52A4A"/>
    <w:rsid w:val="151C4634"/>
    <w:rsid w:val="152F4368"/>
    <w:rsid w:val="1A0933D9"/>
    <w:rsid w:val="1B2304CB"/>
    <w:rsid w:val="20BE2A44"/>
    <w:rsid w:val="25641E0C"/>
    <w:rsid w:val="26D119E3"/>
    <w:rsid w:val="28577A06"/>
    <w:rsid w:val="2ABE1FBE"/>
    <w:rsid w:val="2C2053A7"/>
    <w:rsid w:val="2CC338BC"/>
    <w:rsid w:val="2E2C5491"/>
    <w:rsid w:val="30474804"/>
    <w:rsid w:val="331F7372"/>
    <w:rsid w:val="358B6F41"/>
    <w:rsid w:val="35FC1BEC"/>
    <w:rsid w:val="3AC30F2B"/>
    <w:rsid w:val="3AD66EB0"/>
    <w:rsid w:val="3B4A6198"/>
    <w:rsid w:val="3B702B48"/>
    <w:rsid w:val="3BF770DE"/>
    <w:rsid w:val="3C095063"/>
    <w:rsid w:val="3D9A76FB"/>
    <w:rsid w:val="4177481D"/>
    <w:rsid w:val="41F145CF"/>
    <w:rsid w:val="44775260"/>
    <w:rsid w:val="468C2B19"/>
    <w:rsid w:val="475E44B5"/>
    <w:rsid w:val="47F46BC7"/>
    <w:rsid w:val="4A4C6847"/>
    <w:rsid w:val="4BF61160"/>
    <w:rsid w:val="4F3B4AD3"/>
    <w:rsid w:val="522F68D9"/>
    <w:rsid w:val="526130AB"/>
    <w:rsid w:val="55717AA9"/>
    <w:rsid w:val="57166E1F"/>
    <w:rsid w:val="595A2FE3"/>
    <w:rsid w:val="599B50F5"/>
    <w:rsid w:val="5B392E17"/>
    <w:rsid w:val="605B6AE9"/>
    <w:rsid w:val="625C563D"/>
    <w:rsid w:val="65864EAB"/>
    <w:rsid w:val="65907AD8"/>
    <w:rsid w:val="67796ED4"/>
    <w:rsid w:val="6D9E2FAE"/>
    <w:rsid w:val="6DD15131"/>
    <w:rsid w:val="6F433E0D"/>
    <w:rsid w:val="6FE86762"/>
    <w:rsid w:val="6FEC0000"/>
    <w:rsid w:val="71866233"/>
    <w:rsid w:val="72A20E4A"/>
    <w:rsid w:val="72BD5C84"/>
    <w:rsid w:val="772E0B7E"/>
    <w:rsid w:val="7993773F"/>
    <w:rsid w:val="7D207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autoRedefine/>
    <w:qFormat/>
    <w:uiPriority w:val="0"/>
    <w:pPr>
      <w:ind w:firstLine="200" w:firstLineChars="200"/>
      <w:jc w:val="left"/>
    </w:pPr>
    <w:rPr>
      <w:rFonts w:eastAsia="仿宋_GB2312"/>
    </w:rPr>
  </w:style>
  <w:style w:type="paragraph" w:styleId="3">
    <w:name w:val="footnote text"/>
    <w:basedOn w:val="1"/>
    <w:qFormat/>
    <w:uiPriority w:val="0"/>
    <w:pPr>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footnote reference"/>
    <w:basedOn w:val="6"/>
    <w:qFormat/>
    <w:uiPriority w:val="0"/>
    <w:rPr>
      <w:vertAlign w:val="superscript"/>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3049</Words>
  <Characters>3210</Characters>
  <Lines>0</Lines>
  <Paragraphs>0</Paragraphs>
  <TotalTime>37</TotalTime>
  <ScaleCrop>false</ScaleCrop>
  <LinksUpToDate>false</LinksUpToDate>
  <CharactersWithSpaces>3231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2024-01-17T08:07:00Z</dcterms:created>
  <dc:creator>admin</dc:creator>
  <cp:lastModifiedBy>少君</cp:lastModifiedBy>
  <cp:lastPrinted>2025-05-19T08:07:33Z</cp:lastPrinted>
  <dcterms:modified xsi:type="dcterms:W3CDTF">2025-05-19T08:07:37Z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4659154A8B9741BFB0ACC00119BC7F0D_12</vt:lpwstr>
  </property>
  <property fmtid="{D5CDD505-2E9C-101B-9397-08002B2CF9AE}" pid="4" name="KSOTemplateDocerSaveRecord">
    <vt:lpwstr>eyJoZGlkIjoiZmQyNjY3MmFiMGFhNzhjM2JiZTE3ZDRlNDcwMGM2ZjIiLCJ1c2VySWQiOiIzMzk3MTM2MDYifQ==</vt:lpwstr>
  </property>
</Properties>
</file>