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FA3B2">
      <w:pPr>
        <w:jc w:val="center"/>
        <w:rPr>
          <w:rFonts w:hint="eastAsia" w:ascii="方正小标宋_GBK" w:eastAsia="方正小标宋_GBK"/>
          <w:sz w:val="44"/>
          <w:szCs w:val="44"/>
          <w:lang w:eastAsia="zh-CN"/>
        </w:rPr>
      </w:pPr>
      <w:r>
        <w:rPr>
          <w:rFonts w:hint="eastAsia" w:ascii="方正小标宋_GBK" w:eastAsia="方正小标宋_GBK"/>
          <w:sz w:val="44"/>
          <w:szCs w:val="44"/>
        </w:rPr>
        <w:t>无锡市</w:t>
      </w:r>
      <w:r>
        <w:rPr>
          <w:rFonts w:hint="eastAsia" w:ascii="方正小标宋_GBK" w:eastAsia="方正小标宋_GBK"/>
          <w:sz w:val="44"/>
          <w:szCs w:val="44"/>
          <w:lang w:eastAsia="zh-CN"/>
        </w:rPr>
        <w:t>工贸</w:t>
      </w:r>
      <w:r>
        <w:rPr>
          <w:rFonts w:hint="eastAsia" w:ascii="方正小标宋_GBK" w:eastAsia="方正小标宋_GBK"/>
          <w:sz w:val="44"/>
          <w:szCs w:val="44"/>
          <w:lang w:val="en-US" w:eastAsia="zh-CN"/>
        </w:rPr>
        <w:t>行业</w:t>
      </w:r>
      <w:r>
        <w:rPr>
          <w:rFonts w:hint="eastAsia" w:ascii="方正小标宋_GBK" w:eastAsia="方正小标宋_GBK"/>
          <w:sz w:val="44"/>
          <w:szCs w:val="44"/>
        </w:rPr>
        <w:t>安全生产行政执法重点检查事项</w:t>
      </w:r>
      <w:r>
        <w:rPr>
          <w:rFonts w:hint="eastAsia" w:ascii="方正小标宋_GBK" w:eastAsia="方正小标宋_GBK"/>
          <w:sz w:val="44"/>
          <w:szCs w:val="44"/>
          <w:lang w:eastAsia="zh-CN"/>
        </w:rPr>
        <w:t>（</w:t>
      </w:r>
      <w:r>
        <w:rPr>
          <w:rFonts w:hint="eastAsia" w:ascii="方正小标宋_GBK" w:eastAsia="方正小标宋_GBK"/>
          <w:sz w:val="44"/>
          <w:szCs w:val="44"/>
          <w:lang w:val="en-US" w:eastAsia="zh-CN"/>
        </w:rPr>
        <w:t>2024年</w:t>
      </w:r>
      <w:r>
        <w:rPr>
          <w:rFonts w:hint="eastAsia" w:ascii="方正小标宋_GBK" w:eastAsia="方正小标宋_GBK"/>
          <w:sz w:val="44"/>
          <w:szCs w:val="44"/>
          <w:lang w:eastAsia="zh-CN"/>
        </w:rPr>
        <w:t>）</w:t>
      </w:r>
      <w:bookmarkStart w:id="0" w:name="_GoBack"/>
      <w:bookmarkEnd w:id="0"/>
    </w:p>
    <w:tbl>
      <w:tblPr>
        <w:tblStyle w:val="16"/>
        <w:tblW w:w="15150" w:type="dxa"/>
        <w:tblInd w:w="-5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886"/>
        <w:gridCol w:w="4705"/>
        <w:gridCol w:w="4431"/>
        <w:gridCol w:w="4200"/>
      </w:tblGrid>
      <w:tr w14:paraId="3A8C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blHeader/>
        </w:trPr>
        <w:tc>
          <w:tcPr>
            <w:tcW w:w="928" w:type="dxa"/>
            <w:noWrap/>
            <w:vAlign w:val="center"/>
          </w:tcPr>
          <w:p w14:paraId="195F6BEC">
            <w:pPr>
              <w:jc w:val="center"/>
              <w:rPr>
                <w:rFonts w:ascii="Times New Roman" w:hAnsi="Times New Roman" w:eastAsia="方正仿宋_GBK"/>
                <w:b/>
                <w:bCs/>
                <w:sz w:val="28"/>
                <w:szCs w:val="28"/>
              </w:rPr>
            </w:pPr>
            <w:r>
              <w:rPr>
                <w:rFonts w:hint="eastAsia" w:ascii="Times New Roman" w:hAnsi="Times New Roman" w:eastAsia="方正仿宋_GBK"/>
                <w:b/>
                <w:bCs/>
                <w:sz w:val="28"/>
                <w:szCs w:val="28"/>
              </w:rPr>
              <w:t>序号</w:t>
            </w:r>
          </w:p>
        </w:tc>
        <w:tc>
          <w:tcPr>
            <w:tcW w:w="886" w:type="dxa"/>
            <w:noWrap/>
            <w:vAlign w:val="center"/>
          </w:tcPr>
          <w:p w14:paraId="7CBC0A22">
            <w:pPr>
              <w:jc w:val="center"/>
              <w:rPr>
                <w:rFonts w:ascii="Times New Roman" w:hAnsi="Times New Roman" w:eastAsia="方正仿宋_GBK"/>
                <w:b/>
                <w:bCs/>
                <w:sz w:val="28"/>
                <w:szCs w:val="28"/>
              </w:rPr>
            </w:pPr>
            <w:r>
              <w:rPr>
                <w:rFonts w:hint="eastAsia" w:ascii="Times New Roman" w:hAnsi="Times New Roman" w:eastAsia="方正仿宋_GBK"/>
                <w:b/>
                <w:bCs/>
                <w:sz w:val="28"/>
                <w:szCs w:val="28"/>
              </w:rPr>
              <w:t>行业</w:t>
            </w:r>
          </w:p>
        </w:tc>
        <w:tc>
          <w:tcPr>
            <w:tcW w:w="4705" w:type="dxa"/>
            <w:noWrap/>
            <w:vAlign w:val="center"/>
          </w:tcPr>
          <w:p w14:paraId="54DDAC8B">
            <w:pPr>
              <w:jc w:val="center"/>
              <w:rPr>
                <w:rFonts w:ascii="Times New Roman" w:hAnsi="Times New Roman" w:eastAsia="方正仿宋_GBK"/>
                <w:b/>
                <w:bCs/>
                <w:sz w:val="28"/>
                <w:szCs w:val="28"/>
              </w:rPr>
            </w:pPr>
            <w:r>
              <w:rPr>
                <w:rFonts w:hint="eastAsia" w:ascii="Times New Roman" w:hAnsi="Times New Roman" w:eastAsia="方正仿宋_GBK"/>
                <w:b/>
                <w:bCs/>
                <w:sz w:val="28"/>
                <w:szCs w:val="28"/>
              </w:rPr>
              <w:t>检查内容</w:t>
            </w:r>
          </w:p>
        </w:tc>
        <w:tc>
          <w:tcPr>
            <w:tcW w:w="4431" w:type="dxa"/>
            <w:noWrap/>
            <w:vAlign w:val="center"/>
          </w:tcPr>
          <w:p w14:paraId="57312371">
            <w:pPr>
              <w:jc w:val="center"/>
              <w:rPr>
                <w:rFonts w:ascii="Times New Roman" w:hAnsi="Times New Roman" w:eastAsia="方正仿宋_GBK"/>
                <w:b/>
                <w:bCs/>
                <w:sz w:val="28"/>
                <w:szCs w:val="28"/>
              </w:rPr>
            </w:pPr>
            <w:r>
              <w:rPr>
                <w:rFonts w:hint="eastAsia" w:ascii="Times New Roman" w:hAnsi="Times New Roman" w:eastAsia="方正仿宋_GBK"/>
                <w:b/>
                <w:bCs/>
                <w:sz w:val="28"/>
                <w:szCs w:val="28"/>
              </w:rPr>
              <w:t>法律依据</w:t>
            </w:r>
          </w:p>
        </w:tc>
        <w:tc>
          <w:tcPr>
            <w:tcW w:w="4200" w:type="dxa"/>
            <w:noWrap/>
            <w:vAlign w:val="center"/>
          </w:tcPr>
          <w:p w14:paraId="132982D1">
            <w:pPr>
              <w:jc w:val="center"/>
              <w:rPr>
                <w:rFonts w:ascii="Times New Roman" w:hAnsi="Times New Roman" w:eastAsia="方正仿宋_GBK"/>
                <w:b/>
                <w:bCs/>
                <w:sz w:val="28"/>
                <w:szCs w:val="28"/>
              </w:rPr>
            </w:pPr>
            <w:r>
              <w:rPr>
                <w:rFonts w:hint="eastAsia" w:ascii="Times New Roman" w:hAnsi="Times New Roman" w:eastAsia="方正仿宋_GBK"/>
                <w:b/>
                <w:bCs/>
                <w:sz w:val="28"/>
                <w:szCs w:val="28"/>
              </w:rPr>
              <w:t>处罚依据</w:t>
            </w:r>
          </w:p>
        </w:tc>
      </w:tr>
      <w:tr w14:paraId="51994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30AB6CA0">
            <w:pPr>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3B7312F6">
            <w:pPr>
              <w:jc w:val="center"/>
              <w:rPr>
                <w:rFonts w:ascii="Times New Roman" w:hAnsi="Times New Roman" w:eastAsia="方正仿宋_GBK"/>
                <w:b/>
                <w:bCs/>
                <w:sz w:val="28"/>
              </w:rPr>
            </w:pPr>
            <w:r>
              <w:rPr>
                <w:rFonts w:hint="eastAsia" w:ascii="Times New Roman" w:hAnsi="Times New Roman" w:eastAsia="方正仿宋_GBK"/>
                <w:b/>
                <w:bCs/>
                <w:sz w:val="28"/>
              </w:rPr>
              <w:t>通用</w:t>
            </w:r>
          </w:p>
        </w:tc>
        <w:tc>
          <w:tcPr>
            <w:tcW w:w="4705" w:type="dxa"/>
            <w:vAlign w:val="center"/>
          </w:tcPr>
          <w:p w14:paraId="48AB433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未对承包单位、承租单位的安全生产工作统一协调、管理，或者未定期进行安全检查的</w:t>
            </w:r>
          </w:p>
        </w:tc>
        <w:tc>
          <w:tcPr>
            <w:tcW w:w="4431" w:type="dxa"/>
            <w:vAlign w:val="center"/>
          </w:tcPr>
          <w:p w14:paraId="6D3EFC6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《中华人民共和国安全生产法》第四十九条第二款</w:t>
            </w:r>
          </w:p>
          <w:p w14:paraId="24670B8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《江苏省安全生产条例》第三十条第一款</w:t>
            </w:r>
          </w:p>
        </w:tc>
        <w:tc>
          <w:tcPr>
            <w:tcW w:w="4200" w:type="dxa"/>
            <w:vAlign w:val="center"/>
          </w:tcPr>
          <w:p w14:paraId="20325F1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《中华人民共和国安全生产法》第一百零三条第二款</w:t>
            </w:r>
          </w:p>
          <w:p w14:paraId="477794E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《江苏省安全生产条例》第七十四条</w:t>
            </w:r>
          </w:p>
        </w:tc>
      </w:tr>
      <w:tr w14:paraId="61712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140BA99">
            <w:pPr>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2B431EAE">
            <w:pPr>
              <w:jc w:val="center"/>
              <w:rPr>
                <w:rFonts w:ascii="Times New Roman" w:hAnsi="Times New Roman" w:eastAsia="方正仿宋_GBK"/>
                <w:b/>
                <w:bCs/>
                <w:sz w:val="28"/>
              </w:rPr>
            </w:pPr>
          </w:p>
        </w:tc>
        <w:tc>
          <w:tcPr>
            <w:tcW w:w="4705" w:type="dxa"/>
            <w:vAlign w:val="center"/>
          </w:tcPr>
          <w:p w14:paraId="48FCBB4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特种作业人员未按照规定经专门的安全作业培训并取得相应资格，上岗作业</w:t>
            </w:r>
          </w:p>
        </w:tc>
        <w:tc>
          <w:tcPr>
            <w:tcW w:w="4431" w:type="dxa"/>
            <w:vAlign w:val="center"/>
          </w:tcPr>
          <w:p w14:paraId="22AA3FE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《中华人民共和国安全生产法》第三十条第一款</w:t>
            </w:r>
          </w:p>
        </w:tc>
        <w:tc>
          <w:tcPr>
            <w:tcW w:w="4200" w:type="dxa"/>
            <w:vAlign w:val="center"/>
          </w:tcPr>
          <w:p w14:paraId="7861F7E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《中华人民共和国安全生产法》第九十七条第七项</w:t>
            </w:r>
          </w:p>
        </w:tc>
      </w:tr>
      <w:tr w14:paraId="7FEC3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4C01737C">
            <w:pPr>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6EB835CF">
            <w:pPr>
              <w:jc w:val="center"/>
              <w:rPr>
                <w:rFonts w:ascii="Times New Roman" w:hAnsi="Times New Roman" w:eastAsia="方正仿宋_GBK"/>
                <w:b/>
                <w:bCs/>
                <w:sz w:val="28"/>
              </w:rPr>
            </w:pPr>
          </w:p>
        </w:tc>
        <w:tc>
          <w:tcPr>
            <w:tcW w:w="4705" w:type="dxa"/>
            <w:vAlign w:val="center"/>
          </w:tcPr>
          <w:p w14:paraId="2BF5374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金属冶炼企业主要负责人、安全生产管理人员未按照规定经考核合格的</w:t>
            </w:r>
          </w:p>
        </w:tc>
        <w:tc>
          <w:tcPr>
            <w:tcW w:w="4431" w:type="dxa"/>
            <w:vAlign w:val="center"/>
          </w:tcPr>
          <w:p w14:paraId="7956094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《中华人民共和国安全生产法》第二十七条第二款</w:t>
            </w:r>
          </w:p>
        </w:tc>
        <w:tc>
          <w:tcPr>
            <w:tcW w:w="4200" w:type="dxa"/>
            <w:vAlign w:val="center"/>
          </w:tcPr>
          <w:p w14:paraId="74AF30B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《中华人民共和国安全生产法》第九十七条第二项</w:t>
            </w:r>
          </w:p>
        </w:tc>
      </w:tr>
      <w:tr w14:paraId="2553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23A89988">
            <w:pPr>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1616B294">
            <w:pPr>
              <w:jc w:val="center"/>
              <w:rPr>
                <w:rFonts w:ascii="Times New Roman" w:hAnsi="Times New Roman" w:eastAsia="方正仿宋_GBK"/>
                <w:b/>
                <w:bCs/>
                <w:sz w:val="28"/>
              </w:rPr>
            </w:pPr>
          </w:p>
        </w:tc>
        <w:tc>
          <w:tcPr>
            <w:tcW w:w="4705" w:type="dxa"/>
            <w:vAlign w:val="center"/>
          </w:tcPr>
          <w:p w14:paraId="7FCD85C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安全设备的安装、使用、检测、改造和报废不符合国家标准或者行业标准</w:t>
            </w:r>
          </w:p>
        </w:tc>
        <w:tc>
          <w:tcPr>
            <w:tcW w:w="4431" w:type="dxa"/>
            <w:vAlign w:val="center"/>
          </w:tcPr>
          <w:p w14:paraId="0A91C4A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531749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9B48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B51EE46">
            <w:pPr>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612EA16F">
            <w:pPr>
              <w:jc w:val="center"/>
              <w:rPr>
                <w:rFonts w:ascii="Times New Roman" w:hAnsi="Times New Roman" w:eastAsia="方正仿宋_GBK"/>
                <w:b/>
                <w:bCs/>
                <w:sz w:val="28"/>
              </w:rPr>
            </w:pPr>
          </w:p>
        </w:tc>
        <w:tc>
          <w:tcPr>
            <w:tcW w:w="4705" w:type="dxa"/>
            <w:vAlign w:val="center"/>
          </w:tcPr>
          <w:p w14:paraId="54F40D6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未组织对安全风险进行辨识评估，确定安全风险等级，未对安全风险逐项制定管控措施，编制安全风险管控清单、未按照风险等级实施分级管控措施</w:t>
            </w:r>
          </w:p>
        </w:tc>
        <w:tc>
          <w:tcPr>
            <w:tcW w:w="4431" w:type="dxa"/>
            <w:vAlign w:val="center"/>
          </w:tcPr>
          <w:p w14:paraId="31B2AF0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《江苏省安全生产条例》第二十六条</w:t>
            </w:r>
          </w:p>
        </w:tc>
        <w:tc>
          <w:tcPr>
            <w:tcW w:w="4200" w:type="dxa"/>
            <w:vAlign w:val="center"/>
          </w:tcPr>
          <w:p w14:paraId="2EF0DF5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Times New Roman" w:hAnsi="Times New Roman" w:eastAsia="方正仿宋_GBK"/>
                <w:sz w:val="28"/>
              </w:rPr>
            </w:pPr>
            <w:r>
              <w:rPr>
                <w:rFonts w:hint="eastAsia" w:ascii="Times New Roman" w:hAnsi="Times New Roman" w:eastAsia="方正仿宋_GBK"/>
                <w:sz w:val="28"/>
              </w:rPr>
              <w:t>《江苏省安全生产条例》第七十三条</w:t>
            </w:r>
          </w:p>
        </w:tc>
      </w:tr>
      <w:tr w14:paraId="45555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28" w:type="dxa"/>
            <w:noWrap/>
            <w:vAlign w:val="center"/>
          </w:tcPr>
          <w:p w14:paraId="4CA5C59E">
            <w:pPr>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0E9B09A1">
            <w:pPr>
              <w:jc w:val="center"/>
              <w:rPr>
                <w:rFonts w:ascii="Times New Roman" w:hAnsi="Times New Roman" w:eastAsia="方正仿宋_GBK"/>
                <w:b/>
                <w:bCs/>
                <w:sz w:val="28"/>
              </w:rPr>
            </w:pPr>
          </w:p>
        </w:tc>
        <w:tc>
          <w:tcPr>
            <w:tcW w:w="4705" w:type="dxa"/>
            <w:vAlign w:val="center"/>
          </w:tcPr>
          <w:p w14:paraId="6CCD270C">
            <w:pPr>
              <w:jc w:val="left"/>
              <w:rPr>
                <w:rFonts w:ascii="Times New Roman" w:hAnsi="Times New Roman" w:eastAsia="方正仿宋_GBK"/>
                <w:sz w:val="28"/>
              </w:rPr>
            </w:pPr>
            <w:r>
              <w:rPr>
                <w:rFonts w:hint="eastAsia" w:ascii="Times New Roman" w:hAnsi="Times New Roman" w:eastAsia="方正仿宋_GBK"/>
                <w:sz w:val="28"/>
              </w:rPr>
              <w:t>危险作业未安排专门人员进行现场安全管理，确保操作规程的遵守和安全措施的落实</w:t>
            </w:r>
          </w:p>
        </w:tc>
        <w:tc>
          <w:tcPr>
            <w:tcW w:w="4431" w:type="dxa"/>
            <w:vAlign w:val="center"/>
          </w:tcPr>
          <w:p w14:paraId="155FF518">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《中华人民共和国安全生产法》第四十三条</w:t>
            </w:r>
          </w:p>
        </w:tc>
        <w:tc>
          <w:tcPr>
            <w:tcW w:w="4200" w:type="dxa"/>
            <w:vAlign w:val="center"/>
          </w:tcPr>
          <w:p w14:paraId="1D4A4568">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《中华人民共和国安全生产法》第一百零一条第三项</w:t>
            </w:r>
          </w:p>
        </w:tc>
      </w:tr>
      <w:tr w14:paraId="4B7C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5DC0E80">
            <w:pPr>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1625387E">
            <w:pPr>
              <w:jc w:val="center"/>
              <w:rPr>
                <w:rFonts w:ascii="Times New Roman" w:hAnsi="Times New Roman" w:eastAsia="方正仿宋_GBK"/>
                <w:b/>
                <w:bCs/>
                <w:sz w:val="28"/>
              </w:rPr>
            </w:pPr>
          </w:p>
        </w:tc>
        <w:tc>
          <w:tcPr>
            <w:tcW w:w="4705" w:type="dxa"/>
            <w:vAlign w:val="center"/>
          </w:tcPr>
          <w:p w14:paraId="2CF4F425">
            <w:pPr>
              <w:jc w:val="left"/>
              <w:rPr>
                <w:rFonts w:ascii="Times New Roman" w:hAnsi="Times New Roman" w:eastAsia="方正仿宋_GBK"/>
                <w:sz w:val="28"/>
              </w:rPr>
            </w:pPr>
            <w:r>
              <w:rPr>
                <w:rFonts w:hint="eastAsia" w:ascii="Times New Roman" w:hAnsi="Times New Roman" w:eastAsia="方正仿宋_GBK"/>
                <w:sz w:val="28"/>
              </w:rPr>
              <w:t>生产经营场所和员工宿舍未设有符合紧急疏散需要、标志明显、保持畅通的出口、疏散通道，或者占用、锁闭、封堵生产经营场所或者员工宿舍出口、疏散通道的</w:t>
            </w:r>
          </w:p>
        </w:tc>
        <w:tc>
          <w:tcPr>
            <w:tcW w:w="4431" w:type="dxa"/>
            <w:vAlign w:val="center"/>
          </w:tcPr>
          <w:p w14:paraId="4C46F606">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《中华人民共和国安全生产法》第四十二条第二款</w:t>
            </w:r>
          </w:p>
        </w:tc>
        <w:tc>
          <w:tcPr>
            <w:tcW w:w="4200" w:type="dxa"/>
            <w:vAlign w:val="center"/>
          </w:tcPr>
          <w:p w14:paraId="59592210">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《中华人民共和国安全生产法》第一百零五条第二项</w:t>
            </w:r>
          </w:p>
        </w:tc>
      </w:tr>
      <w:tr w14:paraId="5351A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98C25E6">
            <w:pPr>
              <w:jc w:val="center"/>
              <w:rPr>
                <w:rFonts w:ascii="Times New Roman" w:hAnsi="Times New Roman" w:eastAsia="方正仿宋_GBK"/>
                <w:sz w:val="28"/>
              </w:rPr>
            </w:pPr>
            <w:r>
              <w:rPr>
                <w:rFonts w:hint="eastAsia" w:ascii="Times New Roman" w:hAnsi="Times New Roman" w:eastAsia="方正仿宋_GBK"/>
                <w:sz w:val="28"/>
              </w:rPr>
              <w:t>8</w:t>
            </w:r>
          </w:p>
        </w:tc>
        <w:tc>
          <w:tcPr>
            <w:tcW w:w="886" w:type="dxa"/>
            <w:vMerge w:val="continue"/>
            <w:vAlign w:val="center"/>
          </w:tcPr>
          <w:p w14:paraId="6096A4A5">
            <w:pPr>
              <w:jc w:val="center"/>
              <w:rPr>
                <w:rFonts w:ascii="Times New Roman" w:hAnsi="Times New Roman" w:eastAsia="方正仿宋_GBK"/>
                <w:b/>
                <w:bCs/>
                <w:sz w:val="28"/>
              </w:rPr>
            </w:pPr>
          </w:p>
        </w:tc>
        <w:tc>
          <w:tcPr>
            <w:tcW w:w="4705" w:type="dxa"/>
            <w:vAlign w:val="center"/>
          </w:tcPr>
          <w:p w14:paraId="0E3741B5">
            <w:pPr>
              <w:jc w:val="left"/>
              <w:rPr>
                <w:rFonts w:ascii="Times New Roman" w:hAnsi="Times New Roman" w:eastAsia="方正仿宋_GBK"/>
                <w:sz w:val="28"/>
              </w:rPr>
            </w:pPr>
            <w:r>
              <w:rPr>
                <w:rFonts w:hint="eastAsia" w:ascii="Times New Roman" w:hAnsi="Times New Roman" w:eastAsia="方正仿宋_GBK"/>
                <w:sz w:val="28"/>
              </w:rPr>
              <w:t>未按照规定制定生产安全事故应急救援预案或者未定期组织演练</w:t>
            </w:r>
          </w:p>
        </w:tc>
        <w:tc>
          <w:tcPr>
            <w:tcW w:w="4431" w:type="dxa"/>
            <w:vAlign w:val="center"/>
          </w:tcPr>
          <w:p w14:paraId="78E08894">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《中华人民共和国安全生产法》第八十一条</w:t>
            </w:r>
          </w:p>
        </w:tc>
        <w:tc>
          <w:tcPr>
            <w:tcW w:w="4200" w:type="dxa"/>
            <w:vAlign w:val="center"/>
          </w:tcPr>
          <w:p w14:paraId="58E48F13">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《中华人民共和国安全生产法》第九十七条第六项</w:t>
            </w:r>
          </w:p>
        </w:tc>
      </w:tr>
      <w:tr w14:paraId="4D633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4FDDEBE">
            <w:pPr>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4A570287">
            <w:pPr>
              <w:jc w:val="center"/>
              <w:rPr>
                <w:rFonts w:ascii="Times New Roman" w:hAnsi="Times New Roman" w:eastAsia="方正仿宋_GBK"/>
                <w:b/>
                <w:bCs/>
                <w:sz w:val="28"/>
              </w:rPr>
            </w:pPr>
            <w:r>
              <w:rPr>
                <w:rFonts w:hint="eastAsia" w:ascii="Times New Roman" w:hAnsi="Times New Roman" w:eastAsia="方正仿宋_GBK"/>
                <w:b/>
                <w:bCs/>
                <w:sz w:val="28"/>
              </w:rPr>
              <w:t>冶金</w:t>
            </w:r>
          </w:p>
        </w:tc>
        <w:tc>
          <w:tcPr>
            <w:tcW w:w="4705" w:type="dxa"/>
            <w:vAlign w:val="center"/>
          </w:tcPr>
          <w:p w14:paraId="0708D747">
            <w:pPr>
              <w:jc w:val="left"/>
              <w:rPr>
                <w:rFonts w:ascii="Times New Roman" w:hAnsi="Times New Roman" w:eastAsia="方正仿宋_GBK"/>
                <w:sz w:val="28"/>
              </w:rPr>
            </w:pPr>
            <w:r>
              <w:rPr>
                <w:rFonts w:hint="eastAsia" w:ascii="Times New Roman" w:hAnsi="Times New Roman" w:eastAsia="方正仿宋_GBK"/>
                <w:sz w:val="28"/>
              </w:rPr>
              <w:t>会议室、活动室、休息室、操作室、交接班室、更衣室（含澡堂）等6类人员聚集场所,以及钢铁水罐冷（热）修工位设置在铁水、钢水、液渣吊运跨的地坪区域内的</w:t>
            </w:r>
          </w:p>
        </w:tc>
        <w:tc>
          <w:tcPr>
            <w:tcW w:w="4431" w:type="dxa"/>
            <w:vAlign w:val="center"/>
          </w:tcPr>
          <w:p w14:paraId="79377749">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《工贸企业重大事故隐患判定标准》第四条第一项</w:t>
            </w:r>
          </w:p>
          <w:p w14:paraId="5FE82A12">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68A2ECCC">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4D2BD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31123A4">
            <w:pPr>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73913DD1">
            <w:pPr>
              <w:jc w:val="center"/>
              <w:rPr>
                <w:rFonts w:ascii="Times New Roman" w:hAnsi="Times New Roman" w:eastAsia="方正仿宋_GBK"/>
                <w:b/>
                <w:bCs/>
                <w:sz w:val="28"/>
              </w:rPr>
            </w:pPr>
          </w:p>
        </w:tc>
        <w:tc>
          <w:tcPr>
            <w:tcW w:w="4705" w:type="dxa"/>
            <w:vAlign w:val="center"/>
          </w:tcPr>
          <w:p w14:paraId="25FD62DA">
            <w:pPr>
              <w:jc w:val="left"/>
              <w:rPr>
                <w:rFonts w:ascii="Times New Roman" w:hAnsi="Times New Roman" w:eastAsia="方正仿宋_GBK"/>
                <w:sz w:val="28"/>
              </w:rPr>
            </w:pPr>
            <w:r>
              <w:rPr>
                <w:rFonts w:hint="eastAsia" w:ascii="Times New Roman" w:hAnsi="Times New Roman" w:eastAsia="方正仿宋_GBK"/>
                <w:sz w:val="28"/>
              </w:rPr>
              <w:t>生产期间冶炼、精炼和铸造生产区域的事故坑、炉下渣坑，以及熔融金属泄漏和喷溅影响范围内的炉前平台、炉基区域、厂房内吊运和地面运输通道等6类区域存在积水的</w:t>
            </w:r>
          </w:p>
        </w:tc>
        <w:tc>
          <w:tcPr>
            <w:tcW w:w="4431" w:type="dxa"/>
            <w:vAlign w:val="center"/>
          </w:tcPr>
          <w:p w14:paraId="04C61CA4">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《工贸企业重大事故隐患判定标准》第四条第二项</w:t>
            </w:r>
          </w:p>
          <w:p w14:paraId="3F457215">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66365370">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574B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2615583D">
            <w:pPr>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1BE6EF55">
            <w:pPr>
              <w:jc w:val="center"/>
              <w:rPr>
                <w:rFonts w:ascii="Times New Roman" w:hAnsi="Times New Roman" w:eastAsia="方正仿宋_GBK"/>
                <w:b/>
                <w:bCs/>
                <w:sz w:val="28"/>
              </w:rPr>
            </w:pPr>
          </w:p>
        </w:tc>
        <w:tc>
          <w:tcPr>
            <w:tcW w:w="4705" w:type="dxa"/>
            <w:vAlign w:val="center"/>
          </w:tcPr>
          <w:p w14:paraId="05785B30">
            <w:pPr>
              <w:jc w:val="left"/>
              <w:rPr>
                <w:rFonts w:ascii="Times New Roman" w:hAnsi="Times New Roman" w:eastAsia="方正仿宋_GBK"/>
                <w:sz w:val="28"/>
              </w:rPr>
            </w:pPr>
            <w:r>
              <w:rPr>
                <w:rFonts w:hint="eastAsia" w:ascii="Times New Roman" w:hAnsi="Times New Roman" w:eastAsia="方正仿宋_GBK"/>
                <w:sz w:val="28"/>
              </w:rPr>
              <w:t>炼钢连铸流程未设置事故钢水罐、中间罐漏钢坑（槽）、中间罐溢流坑（槽）、漏钢回转溜槽，或者模铸流程未设置事故钢水罐（坑、槽）的</w:t>
            </w:r>
          </w:p>
        </w:tc>
        <w:tc>
          <w:tcPr>
            <w:tcW w:w="4431" w:type="dxa"/>
            <w:vAlign w:val="center"/>
          </w:tcPr>
          <w:p w14:paraId="754EE29A">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《工贸企业重大事故隐患判定标准》第四条第三项</w:t>
            </w:r>
          </w:p>
          <w:p w14:paraId="6E58278D">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46F244EF">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0F34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7F538A42">
            <w:pPr>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42EBF758">
            <w:pPr>
              <w:jc w:val="center"/>
              <w:rPr>
                <w:rFonts w:ascii="Times New Roman" w:hAnsi="Times New Roman" w:eastAsia="方正仿宋_GBK"/>
                <w:b/>
                <w:bCs/>
                <w:sz w:val="28"/>
              </w:rPr>
            </w:pPr>
          </w:p>
        </w:tc>
        <w:tc>
          <w:tcPr>
            <w:tcW w:w="4705" w:type="dxa"/>
            <w:vAlign w:val="center"/>
          </w:tcPr>
          <w:p w14:paraId="717CBE10">
            <w:pPr>
              <w:jc w:val="left"/>
              <w:rPr>
                <w:rFonts w:ascii="Times New Roman" w:hAnsi="Times New Roman" w:eastAsia="方正仿宋_GBK"/>
                <w:sz w:val="28"/>
              </w:rPr>
            </w:pPr>
            <w:r>
              <w:rPr>
                <w:rFonts w:hint="eastAsia" w:ascii="Times New Roman" w:hAnsi="Times New Roman" w:eastAsia="方正仿宋_GBK"/>
                <w:sz w:val="28"/>
              </w:rPr>
              <w:t>转炉、电弧炉、AOD炉、LF炉、RH炉、VOD炉等炼钢炉的水冷元件未设置出水温度、进出水流量差等监测报警装置，或者监测报警装置未与炉体倾动、氧（副）枪自动提升、电极自动断电和升起装置联锁的</w:t>
            </w:r>
          </w:p>
        </w:tc>
        <w:tc>
          <w:tcPr>
            <w:tcW w:w="4431" w:type="dxa"/>
            <w:vAlign w:val="center"/>
          </w:tcPr>
          <w:p w14:paraId="59945682">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《工贸企业重大事故隐患判定标准》第四条第四项</w:t>
            </w:r>
          </w:p>
          <w:p w14:paraId="2AC7AC3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49279965">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0F7E5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6E24A70F">
            <w:pPr>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0F29E290">
            <w:pPr>
              <w:jc w:val="center"/>
              <w:rPr>
                <w:rFonts w:ascii="Times New Roman" w:hAnsi="Times New Roman" w:eastAsia="方正仿宋_GBK"/>
                <w:b/>
                <w:bCs/>
                <w:sz w:val="28"/>
              </w:rPr>
            </w:pPr>
          </w:p>
        </w:tc>
        <w:tc>
          <w:tcPr>
            <w:tcW w:w="4705" w:type="dxa"/>
            <w:vAlign w:val="center"/>
          </w:tcPr>
          <w:p w14:paraId="54E56862">
            <w:pPr>
              <w:jc w:val="left"/>
              <w:rPr>
                <w:rFonts w:ascii="Times New Roman" w:hAnsi="Times New Roman" w:eastAsia="方正仿宋_GBK"/>
                <w:sz w:val="28"/>
              </w:rPr>
            </w:pPr>
            <w:r>
              <w:rPr>
                <w:rFonts w:hint="eastAsia" w:ascii="Times New Roman" w:hAnsi="Times New Roman" w:eastAsia="方正仿宋_GBK"/>
                <w:sz w:val="28"/>
              </w:rPr>
              <w:t>高炉生产期间炉顶工作压力设定值超过设计文件规定的最高工作压力，或者炉顶工作压力监测装置未与炉顶放散阀联锁，或者炉顶放散阀的联锁放散压力设定值超过设备设计压力值的</w:t>
            </w:r>
          </w:p>
        </w:tc>
        <w:tc>
          <w:tcPr>
            <w:tcW w:w="4431" w:type="dxa"/>
            <w:vAlign w:val="center"/>
          </w:tcPr>
          <w:p w14:paraId="7FE248AC">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《工贸企业重大事故隐患判定标准》第四条第五项</w:t>
            </w:r>
          </w:p>
          <w:p w14:paraId="270ADCDB">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66C78676">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0455E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trPr>
        <w:tc>
          <w:tcPr>
            <w:tcW w:w="928" w:type="dxa"/>
            <w:noWrap/>
            <w:vAlign w:val="center"/>
          </w:tcPr>
          <w:p w14:paraId="7C413EAB">
            <w:pPr>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6E0E12C4">
            <w:pPr>
              <w:jc w:val="center"/>
              <w:rPr>
                <w:rFonts w:ascii="Times New Roman" w:hAnsi="Times New Roman" w:eastAsia="方正仿宋_GBK"/>
                <w:b/>
                <w:bCs/>
                <w:sz w:val="28"/>
              </w:rPr>
            </w:pPr>
          </w:p>
        </w:tc>
        <w:tc>
          <w:tcPr>
            <w:tcW w:w="4705" w:type="dxa"/>
            <w:vAlign w:val="center"/>
          </w:tcPr>
          <w:p w14:paraId="2CF2D1BB">
            <w:pPr>
              <w:jc w:val="left"/>
              <w:rPr>
                <w:rFonts w:ascii="Times New Roman" w:hAnsi="Times New Roman" w:eastAsia="方正仿宋_GBK"/>
                <w:sz w:val="28"/>
              </w:rPr>
            </w:pPr>
            <w:r>
              <w:rPr>
                <w:rFonts w:hint="eastAsia" w:ascii="Times New Roman" w:hAnsi="Times New Roman" w:eastAsia="方正仿宋_GBK"/>
                <w:sz w:val="28"/>
              </w:rPr>
              <w:t>煤气生产、回收净化、加压混合、储存、使用设施附近的会议室、活动室、休息室、操作室、交接班室、更衣室等6类人员聚集场所，以及可能发生煤气泄漏、积聚的场所和部位未设置固定式一氧化碳浓度监测报警装置，或者监测数据未接入24小时有人值守场所的</w:t>
            </w:r>
          </w:p>
        </w:tc>
        <w:tc>
          <w:tcPr>
            <w:tcW w:w="4431" w:type="dxa"/>
            <w:vAlign w:val="center"/>
          </w:tcPr>
          <w:p w14:paraId="7A64B564">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《工贸企业重大事故隐患判定标准》第四条第六项</w:t>
            </w:r>
          </w:p>
          <w:p w14:paraId="048FC1F5">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A10749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4B5CD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6F497F00">
            <w:pPr>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719A05E7">
            <w:pPr>
              <w:jc w:val="center"/>
              <w:rPr>
                <w:rFonts w:ascii="Times New Roman" w:hAnsi="Times New Roman" w:eastAsia="方正仿宋_GBK"/>
                <w:b/>
                <w:bCs/>
                <w:sz w:val="28"/>
              </w:rPr>
            </w:pPr>
          </w:p>
        </w:tc>
        <w:tc>
          <w:tcPr>
            <w:tcW w:w="4705" w:type="dxa"/>
            <w:vAlign w:val="center"/>
          </w:tcPr>
          <w:p w14:paraId="3CE16621">
            <w:pPr>
              <w:jc w:val="left"/>
              <w:rPr>
                <w:rFonts w:ascii="Times New Roman" w:hAnsi="Times New Roman" w:eastAsia="方正仿宋_GBK"/>
                <w:sz w:val="28"/>
              </w:rPr>
            </w:pPr>
            <w:r>
              <w:rPr>
                <w:rFonts w:hint="eastAsia" w:ascii="Times New Roman" w:hAnsi="Times New Roman" w:eastAsia="方正仿宋_GBK"/>
                <w:sz w:val="28"/>
              </w:rPr>
              <w:t>加热炉、煤气柜、除尘器、加压机、烘烤器等设施，以及进入车间前的煤气管道未安装隔断装置的</w:t>
            </w:r>
          </w:p>
        </w:tc>
        <w:tc>
          <w:tcPr>
            <w:tcW w:w="4431" w:type="dxa"/>
            <w:vAlign w:val="center"/>
          </w:tcPr>
          <w:p w14:paraId="2E17D987">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《工贸企业重大事故隐患判定标准》第四条第七项</w:t>
            </w:r>
          </w:p>
          <w:p w14:paraId="6400EC34">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27270C4">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2D427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446E134D">
            <w:pPr>
              <w:jc w:val="center"/>
              <w:rPr>
                <w:rFonts w:ascii="Times New Roman" w:hAnsi="Times New Roman" w:eastAsia="方正仿宋_GBK"/>
                <w:sz w:val="28"/>
              </w:rPr>
            </w:pPr>
            <w:r>
              <w:rPr>
                <w:rFonts w:hint="eastAsia" w:ascii="Times New Roman" w:hAnsi="Times New Roman" w:eastAsia="方正仿宋_GBK"/>
                <w:sz w:val="28"/>
              </w:rPr>
              <w:t>8</w:t>
            </w:r>
          </w:p>
        </w:tc>
        <w:tc>
          <w:tcPr>
            <w:tcW w:w="886" w:type="dxa"/>
            <w:vMerge w:val="continue"/>
            <w:vAlign w:val="center"/>
          </w:tcPr>
          <w:p w14:paraId="4DE742A5">
            <w:pPr>
              <w:jc w:val="center"/>
              <w:rPr>
                <w:rFonts w:ascii="Times New Roman" w:hAnsi="Times New Roman" w:eastAsia="方正仿宋_GBK"/>
                <w:b/>
                <w:bCs/>
                <w:sz w:val="28"/>
              </w:rPr>
            </w:pPr>
          </w:p>
        </w:tc>
        <w:tc>
          <w:tcPr>
            <w:tcW w:w="4705" w:type="dxa"/>
            <w:vAlign w:val="center"/>
          </w:tcPr>
          <w:p w14:paraId="3BF48D55">
            <w:pPr>
              <w:jc w:val="left"/>
              <w:rPr>
                <w:rFonts w:ascii="Times New Roman" w:hAnsi="Times New Roman" w:eastAsia="方正仿宋_GBK"/>
                <w:sz w:val="28"/>
              </w:rPr>
            </w:pPr>
            <w:r>
              <w:rPr>
                <w:rFonts w:hint="eastAsia" w:ascii="Times New Roman" w:hAnsi="Times New Roman" w:eastAsia="方正仿宋_GBK"/>
                <w:sz w:val="28"/>
              </w:rPr>
              <w:t>正压煤气输配管线水封式排水器的最高封堵煤气压力小于30kPa，或者同一煤气管道隔断装置的两侧共用一个排水器，或者不同煤气管道排水器上部的排水管连通，或者不同介质的煤气管道共用一个排水器的</w:t>
            </w:r>
          </w:p>
        </w:tc>
        <w:tc>
          <w:tcPr>
            <w:tcW w:w="4431" w:type="dxa"/>
            <w:vAlign w:val="center"/>
          </w:tcPr>
          <w:p w14:paraId="2FDEC41B">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《工贸企业重大事故隐患判定标准》第四条第八项</w:t>
            </w:r>
          </w:p>
          <w:p w14:paraId="10160B90">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38C65F4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1F5B4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6A6C85B8">
            <w:pPr>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6052DFD9">
            <w:pPr>
              <w:jc w:val="center"/>
              <w:rPr>
                <w:rFonts w:ascii="Times New Roman" w:hAnsi="Times New Roman" w:eastAsia="方正仿宋_GBK"/>
                <w:b/>
                <w:bCs/>
                <w:sz w:val="28"/>
              </w:rPr>
            </w:pPr>
            <w:r>
              <w:rPr>
                <w:rFonts w:hint="eastAsia" w:ascii="Times New Roman" w:hAnsi="Times New Roman" w:eastAsia="方正仿宋_GBK"/>
                <w:b/>
                <w:bCs/>
                <w:sz w:val="28"/>
              </w:rPr>
              <w:t>有色</w:t>
            </w:r>
          </w:p>
        </w:tc>
        <w:tc>
          <w:tcPr>
            <w:tcW w:w="4705" w:type="dxa"/>
            <w:vAlign w:val="center"/>
          </w:tcPr>
          <w:p w14:paraId="66627945">
            <w:pPr>
              <w:jc w:val="left"/>
              <w:rPr>
                <w:rFonts w:ascii="Times New Roman" w:hAnsi="Times New Roman" w:eastAsia="方正仿宋_GBK"/>
                <w:sz w:val="28"/>
              </w:rPr>
            </w:pPr>
            <w:r>
              <w:rPr>
                <w:rFonts w:hint="eastAsia" w:ascii="Times New Roman" w:hAnsi="Times New Roman" w:eastAsia="方正仿宋_GBK"/>
                <w:sz w:val="28"/>
              </w:rPr>
              <w:t>会议室、活动室、休息室、操作室、交接班室、更衣室（含澡堂）等6类人员聚集场所设置在熔融金属吊运跨的地坪区域内的</w:t>
            </w:r>
          </w:p>
        </w:tc>
        <w:tc>
          <w:tcPr>
            <w:tcW w:w="4431" w:type="dxa"/>
            <w:vAlign w:val="center"/>
          </w:tcPr>
          <w:p w14:paraId="6AD34C6B">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《工贸企业重大事故隐患判定标准》第五条第一项</w:t>
            </w:r>
          </w:p>
          <w:p w14:paraId="4727847B">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521233D5">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911C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0AE704C5">
            <w:pPr>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5BAEC2B2">
            <w:pPr>
              <w:jc w:val="center"/>
              <w:rPr>
                <w:rFonts w:ascii="Times New Roman" w:hAnsi="Times New Roman" w:eastAsia="方正仿宋_GBK"/>
                <w:b/>
                <w:bCs/>
                <w:sz w:val="28"/>
              </w:rPr>
            </w:pPr>
          </w:p>
        </w:tc>
        <w:tc>
          <w:tcPr>
            <w:tcW w:w="4705" w:type="dxa"/>
            <w:vAlign w:val="center"/>
          </w:tcPr>
          <w:p w14:paraId="5A700B4B">
            <w:pPr>
              <w:jc w:val="left"/>
              <w:rPr>
                <w:rFonts w:ascii="Times New Roman" w:hAnsi="Times New Roman" w:eastAsia="方正仿宋_GBK"/>
                <w:sz w:val="28"/>
              </w:rPr>
            </w:pPr>
            <w:r>
              <w:rPr>
                <w:rFonts w:hint="eastAsia" w:ascii="Times New Roman" w:hAnsi="Times New Roman" w:eastAsia="方正仿宋_GBK"/>
                <w:sz w:val="28"/>
              </w:rPr>
              <w:t>生产期间冶炼、精炼、铸造生产区域的事故坑、炉下渣坑，以及熔融金属泄漏、喷溅影响范围内的炉前平台、炉基区域、厂房内吊运和地面运输通道等6类区域存在非生产性积水的</w:t>
            </w:r>
          </w:p>
        </w:tc>
        <w:tc>
          <w:tcPr>
            <w:tcW w:w="4431" w:type="dxa"/>
            <w:vAlign w:val="center"/>
          </w:tcPr>
          <w:p w14:paraId="176E13EA">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《工贸企业重大事故隐患判定标准》第五条第二项</w:t>
            </w:r>
          </w:p>
          <w:p w14:paraId="74FEBF69">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6C022351">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5914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299ECB09">
            <w:pPr>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4BDFDAF5">
            <w:pPr>
              <w:jc w:val="center"/>
              <w:rPr>
                <w:rFonts w:ascii="Times New Roman" w:hAnsi="Times New Roman" w:eastAsia="方正仿宋_GBK"/>
                <w:b/>
                <w:bCs/>
                <w:sz w:val="28"/>
              </w:rPr>
            </w:pPr>
          </w:p>
        </w:tc>
        <w:tc>
          <w:tcPr>
            <w:tcW w:w="4705" w:type="dxa"/>
            <w:vAlign w:val="center"/>
          </w:tcPr>
          <w:p w14:paraId="65DFB5CE">
            <w:pPr>
              <w:jc w:val="left"/>
              <w:rPr>
                <w:rFonts w:ascii="Times New Roman" w:hAnsi="Times New Roman" w:eastAsia="方正仿宋_GBK"/>
                <w:sz w:val="28"/>
              </w:rPr>
            </w:pPr>
            <w:r>
              <w:rPr>
                <w:rFonts w:hint="eastAsia" w:ascii="Times New Roman" w:hAnsi="Times New Roman" w:eastAsia="方正仿宋_GBK"/>
                <w:sz w:val="28"/>
              </w:rPr>
              <w:t>熔融金属铸造环节未设置紧急排放和应急储存设施的（倾动式熔炼炉、倾动式保温炉、倾动式熔保一体炉、带保温炉的固定式熔炼炉除外）</w:t>
            </w:r>
          </w:p>
        </w:tc>
        <w:tc>
          <w:tcPr>
            <w:tcW w:w="4431" w:type="dxa"/>
            <w:vAlign w:val="center"/>
          </w:tcPr>
          <w:p w14:paraId="524E80A4">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《工贸企业重大事故隐患判定标准》第五条第三项</w:t>
            </w:r>
          </w:p>
          <w:p w14:paraId="28AA077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1DEE468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43B1B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11E87D41">
            <w:pPr>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1F19F477">
            <w:pPr>
              <w:jc w:val="center"/>
              <w:rPr>
                <w:rFonts w:ascii="Times New Roman" w:hAnsi="Times New Roman" w:eastAsia="方正仿宋_GBK"/>
                <w:b/>
                <w:bCs/>
                <w:sz w:val="28"/>
              </w:rPr>
            </w:pPr>
          </w:p>
        </w:tc>
        <w:tc>
          <w:tcPr>
            <w:tcW w:w="4705" w:type="dxa"/>
            <w:vAlign w:val="center"/>
          </w:tcPr>
          <w:p w14:paraId="41C44881">
            <w:pPr>
              <w:jc w:val="left"/>
              <w:rPr>
                <w:rFonts w:ascii="Times New Roman" w:hAnsi="Times New Roman" w:eastAsia="方正仿宋_GBK"/>
                <w:sz w:val="28"/>
              </w:rPr>
            </w:pPr>
            <w:r>
              <w:rPr>
                <w:rFonts w:hint="eastAsia" w:ascii="Times New Roman" w:hAnsi="Times New Roman" w:eastAsia="方正仿宋_GBK"/>
                <w:sz w:val="28"/>
              </w:rPr>
              <w:t>采用水冷冷却的冶炼炉窑、铸造机（铝加工深井铸造工艺的结晶器除外）、加热炉未设置应急水源的</w:t>
            </w:r>
          </w:p>
        </w:tc>
        <w:tc>
          <w:tcPr>
            <w:tcW w:w="4431" w:type="dxa"/>
            <w:vAlign w:val="center"/>
          </w:tcPr>
          <w:p w14:paraId="221E5D73">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《工贸企业重大事故隐患判定标准》第五条第四项</w:t>
            </w:r>
          </w:p>
          <w:p w14:paraId="01F3BD6D">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7EB6BE5C">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B463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150751F1">
            <w:pPr>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54DF4764">
            <w:pPr>
              <w:jc w:val="center"/>
              <w:rPr>
                <w:rFonts w:ascii="Times New Roman" w:hAnsi="Times New Roman" w:eastAsia="方正仿宋_GBK"/>
                <w:b/>
                <w:bCs/>
                <w:sz w:val="28"/>
              </w:rPr>
            </w:pPr>
          </w:p>
        </w:tc>
        <w:tc>
          <w:tcPr>
            <w:tcW w:w="4705" w:type="dxa"/>
            <w:vAlign w:val="center"/>
          </w:tcPr>
          <w:p w14:paraId="14C2B40D">
            <w:pPr>
              <w:jc w:val="left"/>
              <w:rPr>
                <w:rFonts w:ascii="Times New Roman" w:hAnsi="Times New Roman" w:eastAsia="方正仿宋_GBK"/>
                <w:sz w:val="28"/>
              </w:rPr>
            </w:pPr>
            <w:r>
              <w:rPr>
                <w:rFonts w:hint="eastAsia" w:ascii="Times New Roman" w:hAnsi="Times New Roman" w:eastAsia="方正仿宋_GBK"/>
                <w:sz w:val="28"/>
              </w:rPr>
              <w:t>熔融金属冶炼炉窑的闭路循环水冷元件未设置出水温度、进出水流量差监测报警装置，或者开路水冷元件未设置进水流量、压力监测报警装置，或者未监测开路水冷元件出水温度的</w:t>
            </w:r>
          </w:p>
        </w:tc>
        <w:tc>
          <w:tcPr>
            <w:tcW w:w="4431" w:type="dxa"/>
            <w:vAlign w:val="center"/>
          </w:tcPr>
          <w:p w14:paraId="0C821FB5">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《工贸企业重大事故隐患判定标准》第五条第五项</w:t>
            </w:r>
          </w:p>
          <w:p w14:paraId="77071314">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6573EC89">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51C9F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3ECA9A3D">
            <w:pPr>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7D8BDC5D">
            <w:pPr>
              <w:jc w:val="center"/>
              <w:rPr>
                <w:rFonts w:ascii="Times New Roman" w:hAnsi="Times New Roman" w:eastAsia="方正仿宋_GBK"/>
                <w:b/>
                <w:bCs/>
                <w:sz w:val="28"/>
              </w:rPr>
            </w:pPr>
          </w:p>
        </w:tc>
        <w:tc>
          <w:tcPr>
            <w:tcW w:w="4705" w:type="dxa"/>
            <w:vAlign w:val="center"/>
          </w:tcPr>
          <w:p w14:paraId="7991E38D">
            <w:pPr>
              <w:jc w:val="left"/>
              <w:rPr>
                <w:rFonts w:ascii="Times New Roman" w:hAnsi="Times New Roman" w:eastAsia="方正仿宋_GBK"/>
                <w:sz w:val="28"/>
              </w:rPr>
            </w:pPr>
            <w:r>
              <w:rPr>
                <w:rFonts w:hint="eastAsia" w:ascii="Times New Roman" w:hAnsi="Times New Roman" w:eastAsia="方正仿宋_GBK"/>
                <w:sz w:val="28"/>
              </w:rPr>
              <w:t>铝加工深井铸造工艺的结晶器冷却水系统未设置进水压力、进水流量监测报警装置，或者监测报警装置未与快速切断阀、紧急排放阀、流槽断开装置联锁，或者监测报警装置未与倾动式浇铸炉控制系统联锁的</w:t>
            </w:r>
          </w:p>
        </w:tc>
        <w:tc>
          <w:tcPr>
            <w:tcW w:w="4431" w:type="dxa"/>
            <w:vAlign w:val="center"/>
          </w:tcPr>
          <w:p w14:paraId="6CD39D85">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《工贸企业重大事故隐患判定标准》第五条第六项</w:t>
            </w:r>
          </w:p>
          <w:p w14:paraId="0D4ED68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2489B3F8">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AB37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4BD389DF">
            <w:pPr>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0D5D0B21">
            <w:pPr>
              <w:jc w:val="center"/>
              <w:rPr>
                <w:rFonts w:ascii="Times New Roman" w:hAnsi="Times New Roman" w:eastAsia="方正仿宋_GBK"/>
                <w:b/>
                <w:bCs/>
                <w:sz w:val="28"/>
              </w:rPr>
            </w:pPr>
          </w:p>
        </w:tc>
        <w:tc>
          <w:tcPr>
            <w:tcW w:w="4705" w:type="dxa"/>
            <w:vAlign w:val="center"/>
          </w:tcPr>
          <w:p w14:paraId="45809FAB">
            <w:pPr>
              <w:jc w:val="left"/>
              <w:rPr>
                <w:rFonts w:ascii="Times New Roman" w:hAnsi="Times New Roman" w:eastAsia="方正仿宋_GBK"/>
                <w:sz w:val="28"/>
              </w:rPr>
            </w:pPr>
            <w:r>
              <w:rPr>
                <w:rFonts w:hint="eastAsia" w:ascii="Times New Roman" w:hAnsi="Times New Roman" w:eastAsia="方正仿宋_GBK"/>
                <w:sz w:val="28"/>
              </w:rPr>
              <w:t>铝加工深井铸造工艺的浇铸炉铝液出口流槽、流槽与模盘（分配流槽）入口连接处未设置液位监测报警装置，或者固定式浇铸炉的铝液出口未设置机械锁紧装置的</w:t>
            </w:r>
          </w:p>
        </w:tc>
        <w:tc>
          <w:tcPr>
            <w:tcW w:w="4431" w:type="dxa"/>
            <w:vAlign w:val="center"/>
          </w:tcPr>
          <w:p w14:paraId="727A432D">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《工贸企业重大事故隐患判定标准》第五条第七项</w:t>
            </w:r>
          </w:p>
          <w:p w14:paraId="5770104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012E5D07">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FA50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trPr>
        <w:tc>
          <w:tcPr>
            <w:tcW w:w="928" w:type="dxa"/>
            <w:noWrap/>
            <w:vAlign w:val="center"/>
          </w:tcPr>
          <w:p w14:paraId="02D34B0E">
            <w:pPr>
              <w:jc w:val="center"/>
              <w:rPr>
                <w:rFonts w:ascii="Times New Roman" w:hAnsi="Times New Roman" w:eastAsia="方正仿宋_GBK"/>
                <w:sz w:val="28"/>
              </w:rPr>
            </w:pPr>
            <w:r>
              <w:rPr>
                <w:rFonts w:hint="eastAsia" w:ascii="Times New Roman" w:hAnsi="Times New Roman" w:eastAsia="方正仿宋_GBK"/>
                <w:sz w:val="28"/>
              </w:rPr>
              <w:t>8</w:t>
            </w:r>
          </w:p>
        </w:tc>
        <w:tc>
          <w:tcPr>
            <w:tcW w:w="886" w:type="dxa"/>
            <w:vMerge w:val="continue"/>
            <w:vAlign w:val="center"/>
          </w:tcPr>
          <w:p w14:paraId="7EF319A5">
            <w:pPr>
              <w:jc w:val="center"/>
              <w:rPr>
                <w:rFonts w:ascii="Times New Roman" w:hAnsi="Times New Roman" w:eastAsia="方正仿宋_GBK"/>
                <w:b/>
                <w:bCs/>
                <w:sz w:val="28"/>
              </w:rPr>
            </w:pPr>
          </w:p>
        </w:tc>
        <w:tc>
          <w:tcPr>
            <w:tcW w:w="4705" w:type="dxa"/>
            <w:vAlign w:val="center"/>
          </w:tcPr>
          <w:p w14:paraId="4F2BCCAC">
            <w:pPr>
              <w:jc w:val="left"/>
              <w:rPr>
                <w:rFonts w:ascii="Times New Roman" w:hAnsi="Times New Roman" w:eastAsia="方正仿宋_GBK"/>
                <w:sz w:val="28"/>
              </w:rPr>
            </w:pPr>
            <w:r>
              <w:rPr>
                <w:rFonts w:hint="eastAsia" w:ascii="Times New Roman" w:hAnsi="Times New Roman" w:eastAsia="方正仿宋_GBK"/>
                <w:sz w:val="28"/>
              </w:rPr>
              <w:t>铝加工深井铸造工艺的固定式浇铸炉的铝液流槽未设置紧急排放阀，或者流槽与模盘（分配流槽）入口连接处未设置快速切断阀（断开装置），或者流槽与模盘（分配流槽）入口连接处的液位监测报警装置未与快速切断阀（断开装置）、紧急排放阀联锁的</w:t>
            </w:r>
          </w:p>
        </w:tc>
        <w:tc>
          <w:tcPr>
            <w:tcW w:w="4431" w:type="dxa"/>
            <w:vAlign w:val="center"/>
          </w:tcPr>
          <w:p w14:paraId="5E57CB75">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《工贸企业重大事故隐患判定标准》第五条第八项</w:t>
            </w:r>
          </w:p>
          <w:p w14:paraId="692533B3">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533D3EF4">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3394D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29846400">
            <w:pPr>
              <w:jc w:val="center"/>
              <w:rPr>
                <w:rFonts w:ascii="Times New Roman" w:hAnsi="Times New Roman" w:eastAsia="方正仿宋_GBK"/>
                <w:sz w:val="28"/>
              </w:rPr>
            </w:pPr>
            <w:r>
              <w:rPr>
                <w:rFonts w:hint="eastAsia" w:ascii="Times New Roman" w:hAnsi="Times New Roman" w:eastAsia="方正仿宋_GBK"/>
                <w:sz w:val="28"/>
              </w:rPr>
              <w:t>9</w:t>
            </w:r>
          </w:p>
        </w:tc>
        <w:tc>
          <w:tcPr>
            <w:tcW w:w="886" w:type="dxa"/>
            <w:vMerge w:val="continue"/>
            <w:vAlign w:val="center"/>
          </w:tcPr>
          <w:p w14:paraId="56FD0D05">
            <w:pPr>
              <w:jc w:val="center"/>
              <w:rPr>
                <w:rFonts w:ascii="Times New Roman" w:hAnsi="Times New Roman" w:eastAsia="方正仿宋_GBK"/>
                <w:b/>
                <w:bCs/>
                <w:sz w:val="28"/>
              </w:rPr>
            </w:pPr>
          </w:p>
        </w:tc>
        <w:tc>
          <w:tcPr>
            <w:tcW w:w="4705" w:type="dxa"/>
            <w:vAlign w:val="center"/>
          </w:tcPr>
          <w:p w14:paraId="44E95B6C">
            <w:pPr>
              <w:jc w:val="left"/>
              <w:rPr>
                <w:rFonts w:ascii="Times New Roman" w:hAnsi="Times New Roman" w:eastAsia="方正仿宋_GBK"/>
                <w:sz w:val="28"/>
              </w:rPr>
            </w:pPr>
            <w:r>
              <w:rPr>
                <w:rFonts w:hint="eastAsia" w:ascii="Times New Roman" w:hAnsi="Times New Roman" w:eastAsia="方正仿宋_GBK"/>
                <w:sz w:val="28"/>
              </w:rPr>
              <w:t>铝加工深井铸造工艺的倾动式浇铸炉流槽与模盘（分配流槽）入口连接处未设置快速切断阀（断开装置），或者流槽与模盘（分配流槽）入口连接处的液位监测报警装置未与浇铸炉倾动控制系统、快速切断阀（断开装置）联锁的</w:t>
            </w:r>
          </w:p>
        </w:tc>
        <w:tc>
          <w:tcPr>
            <w:tcW w:w="4431" w:type="dxa"/>
            <w:vAlign w:val="center"/>
          </w:tcPr>
          <w:p w14:paraId="47651992">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《工贸企业重大事故隐患判定标准》第五条第九项</w:t>
            </w:r>
          </w:p>
          <w:p w14:paraId="0C92DFF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79A7C09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1880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6EFD6E96">
            <w:pPr>
              <w:jc w:val="center"/>
              <w:rPr>
                <w:rFonts w:ascii="Times New Roman" w:hAnsi="Times New Roman" w:eastAsia="方正仿宋_GBK"/>
                <w:sz w:val="28"/>
              </w:rPr>
            </w:pPr>
            <w:r>
              <w:rPr>
                <w:rFonts w:hint="eastAsia" w:ascii="Times New Roman" w:hAnsi="Times New Roman" w:eastAsia="方正仿宋_GBK"/>
                <w:sz w:val="28"/>
              </w:rPr>
              <w:t>10</w:t>
            </w:r>
          </w:p>
        </w:tc>
        <w:tc>
          <w:tcPr>
            <w:tcW w:w="886" w:type="dxa"/>
            <w:vMerge w:val="continue"/>
            <w:vAlign w:val="center"/>
          </w:tcPr>
          <w:p w14:paraId="0B886CBA">
            <w:pPr>
              <w:jc w:val="center"/>
              <w:rPr>
                <w:rFonts w:ascii="Times New Roman" w:hAnsi="Times New Roman" w:eastAsia="方正仿宋_GBK"/>
                <w:b/>
                <w:bCs/>
                <w:sz w:val="28"/>
              </w:rPr>
            </w:pPr>
          </w:p>
        </w:tc>
        <w:tc>
          <w:tcPr>
            <w:tcW w:w="4705" w:type="dxa"/>
            <w:vAlign w:val="center"/>
          </w:tcPr>
          <w:p w14:paraId="0BBFD558">
            <w:pPr>
              <w:jc w:val="left"/>
              <w:rPr>
                <w:rFonts w:ascii="Times New Roman" w:hAnsi="Times New Roman" w:eastAsia="方正仿宋_GBK"/>
                <w:sz w:val="28"/>
              </w:rPr>
            </w:pPr>
            <w:r>
              <w:rPr>
                <w:rFonts w:hint="eastAsia" w:ascii="Times New Roman" w:hAnsi="Times New Roman" w:eastAsia="方正仿宋_GBK"/>
                <w:sz w:val="28"/>
              </w:rPr>
              <w:t>铝加工深井铸造机钢丝卷扬系统选用非钢芯钢丝绳，或者未落实钢丝绳定期检查、更换制度的</w:t>
            </w:r>
          </w:p>
        </w:tc>
        <w:tc>
          <w:tcPr>
            <w:tcW w:w="4431" w:type="dxa"/>
            <w:vAlign w:val="center"/>
          </w:tcPr>
          <w:p w14:paraId="5968462B">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《工贸企业重大事故隐患判定标准》第五条第十项</w:t>
            </w:r>
          </w:p>
          <w:p w14:paraId="1058B81D">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369BF7DE">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8AC9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21B16742">
            <w:pPr>
              <w:jc w:val="center"/>
              <w:rPr>
                <w:rFonts w:ascii="Times New Roman" w:hAnsi="Times New Roman" w:eastAsia="方正仿宋_GBK"/>
                <w:sz w:val="28"/>
              </w:rPr>
            </w:pPr>
            <w:r>
              <w:rPr>
                <w:rFonts w:hint="eastAsia" w:ascii="Times New Roman" w:hAnsi="Times New Roman" w:eastAsia="方正仿宋_GBK"/>
                <w:sz w:val="28"/>
              </w:rPr>
              <w:t>11</w:t>
            </w:r>
          </w:p>
        </w:tc>
        <w:tc>
          <w:tcPr>
            <w:tcW w:w="886" w:type="dxa"/>
            <w:vMerge w:val="continue"/>
            <w:vAlign w:val="center"/>
          </w:tcPr>
          <w:p w14:paraId="2DD30D65">
            <w:pPr>
              <w:jc w:val="center"/>
              <w:rPr>
                <w:rFonts w:ascii="Times New Roman" w:hAnsi="Times New Roman" w:eastAsia="方正仿宋_GBK"/>
                <w:b/>
                <w:bCs/>
                <w:sz w:val="28"/>
              </w:rPr>
            </w:pPr>
          </w:p>
        </w:tc>
        <w:tc>
          <w:tcPr>
            <w:tcW w:w="4705" w:type="dxa"/>
            <w:vAlign w:val="center"/>
          </w:tcPr>
          <w:p w14:paraId="14B59AEF">
            <w:pPr>
              <w:jc w:val="left"/>
              <w:rPr>
                <w:rFonts w:ascii="Times New Roman" w:hAnsi="Times New Roman" w:eastAsia="方正仿宋_GBK"/>
                <w:sz w:val="28"/>
              </w:rPr>
            </w:pPr>
            <w:r>
              <w:rPr>
                <w:rFonts w:hint="eastAsia" w:ascii="Times New Roman" w:hAnsi="Times New Roman" w:eastAsia="方正仿宋_GBK"/>
                <w:sz w:val="28"/>
              </w:rPr>
              <w:t>可能发生一氧化碳、砷化氢、氯气、硫化氢等4种有毒气体泄漏、积聚的场所和部位未设置固定式气体浓度监测报警装置，或者监测数据未接入24小时有人值守场所或者未对可能有砷化氢气体的场所和部位采取同等效果的检测措施的</w:t>
            </w:r>
          </w:p>
        </w:tc>
        <w:tc>
          <w:tcPr>
            <w:tcW w:w="4431" w:type="dxa"/>
            <w:vAlign w:val="center"/>
          </w:tcPr>
          <w:p w14:paraId="160581FE">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《工贸企业重大事故隐患判定标准》第五条第十一项</w:t>
            </w:r>
          </w:p>
          <w:p w14:paraId="6C58A578">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FD0CF47">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11DEA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7F88FBFE">
            <w:pPr>
              <w:jc w:val="center"/>
              <w:rPr>
                <w:rFonts w:ascii="Times New Roman" w:hAnsi="Times New Roman" w:eastAsia="方正仿宋_GBK"/>
                <w:sz w:val="28"/>
              </w:rPr>
            </w:pPr>
            <w:r>
              <w:rPr>
                <w:rFonts w:hint="eastAsia" w:ascii="Times New Roman" w:hAnsi="Times New Roman" w:eastAsia="方正仿宋_GBK"/>
                <w:sz w:val="28"/>
              </w:rPr>
              <w:t>12</w:t>
            </w:r>
          </w:p>
        </w:tc>
        <w:tc>
          <w:tcPr>
            <w:tcW w:w="886" w:type="dxa"/>
            <w:vMerge w:val="continue"/>
            <w:vAlign w:val="center"/>
          </w:tcPr>
          <w:p w14:paraId="45383596">
            <w:pPr>
              <w:jc w:val="center"/>
              <w:rPr>
                <w:rFonts w:ascii="Times New Roman" w:hAnsi="Times New Roman" w:eastAsia="方正仿宋_GBK"/>
                <w:b/>
                <w:bCs/>
                <w:sz w:val="28"/>
              </w:rPr>
            </w:pPr>
          </w:p>
        </w:tc>
        <w:tc>
          <w:tcPr>
            <w:tcW w:w="4705" w:type="dxa"/>
            <w:vAlign w:val="center"/>
          </w:tcPr>
          <w:p w14:paraId="186C8E24">
            <w:pPr>
              <w:jc w:val="left"/>
              <w:rPr>
                <w:rFonts w:ascii="Times New Roman" w:hAnsi="Times New Roman" w:eastAsia="方正仿宋_GBK"/>
                <w:sz w:val="28"/>
              </w:rPr>
            </w:pPr>
            <w:r>
              <w:rPr>
                <w:rFonts w:hint="eastAsia" w:ascii="Times New Roman" w:hAnsi="Times New Roman" w:eastAsia="方正仿宋_GBK"/>
                <w:sz w:val="28"/>
              </w:rPr>
              <w:t>使用煤气（天然气）并强制送风的燃烧装置的燃气总管未设置压力监测报警装置，或者监测报警装置未与紧急自动切断装置联锁的</w:t>
            </w:r>
          </w:p>
        </w:tc>
        <w:tc>
          <w:tcPr>
            <w:tcW w:w="4431" w:type="dxa"/>
            <w:vAlign w:val="center"/>
          </w:tcPr>
          <w:p w14:paraId="1795BBF8">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《工贸企业重大事故隐患判定标准》第五条第十二项</w:t>
            </w:r>
          </w:p>
          <w:p w14:paraId="6658D81B">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79677ACB">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199A4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25F989C1">
            <w:pPr>
              <w:jc w:val="center"/>
              <w:rPr>
                <w:rFonts w:ascii="Times New Roman" w:hAnsi="Times New Roman" w:eastAsia="方正仿宋_GBK"/>
                <w:sz w:val="28"/>
              </w:rPr>
            </w:pPr>
            <w:r>
              <w:rPr>
                <w:rFonts w:hint="eastAsia" w:ascii="Times New Roman" w:hAnsi="Times New Roman" w:eastAsia="方正仿宋_GBK"/>
                <w:sz w:val="28"/>
              </w:rPr>
              <w:t>13</w:t>
            </w:r>
          </w:p>
        </w:tc>
        <w:tc>
          <w:tcPr>
            <w:tcW w:w="886" w:type="dxa"/>
            <w:vMerge w:val="continue"/>
            <w:vAlign w:val="center"/>
          </w:tcPr>
          <w:p w14:paraId="71267E96">
            <w:pPr>
              <w:jc w:val="center"/>
              <w:rPr>
                <w:rFonts w:ascii="Times New Roman" w:hAnsi="Times New Roman" w:eastAsia="方正仿宋_GBK"/>
                <w:b/>
                <w:bCs/>
                <w:sz w:val="28"/>
              </w:rPr>
            </w:pPr>
          </w:p>
        </w:tc>
        <w:tc>
          <w:tcPr>
            <w:tcW w:w="4705" w:type="dxa"/>
            <w:vAlign w:val="center"/>
          </w:tcPr>
          <w:p w14:paraId="6CD339A6">
            <w:pPr>
              <w:jc w:val="left"/>
              <w:rPr>
                <w:rFonts w:ascii="Times New Roman" w:hAnsi="Times New Roman" w:eastAsia="方正仿宋_GBK"/>
                <w:sz w:val="28"/>
              </w:rPr>
            </w:pPr>
            <w:r>
              <w:rPr>
                <w:rFonts w:hint="eastAsia" w:ascii="Times New Roman" w:hAnsi="Times New Roman" w:eastAsia="方正仿宋_GBK"/>
                <w:sz w:val="28"/>
              </w:rPr>
              <w:t>正压煤气输配管线水封式排水器的最高封堵煤气压力小于30kPa，或者同一煤气管道隔断装置的两侧共用一个排水器，或者不同煤气管道排水器上部的排水管连通，或者不同介质的煤气管道共用一个排水器的</w:t>
            </w:r>
          </w:p>
        </w:tc>
        <w:tc>
          <w:tcPr>
            <w:tcW w:w="4431" w:type="dxa"/>
            <w:vAlign w:val="center"/>
          </w:tcPr>
          <w:p w14:paraId="7E578A90">
            <w:pPr>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《工贸企业重大事故隐患判定标准》第五条第十三项</w:t>
            </w:r>
          </w:p>
          <w:p w14:paraId="7F6BC0D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63D265D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37423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4E1771EC">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747A3F7A">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建材</w:t>
            </w:r>
          </w:p>
        </w:tc>
        <w:tc>
          <w:tcPr>
            <w:tcW w:w="4705" w:type="dxa"/>
            <w:vAlign w:val="center"/>
          </w:tcPr>
          <w:p w14:paraId="10E215DF">
            <w:pPr>
              <w:spacing w:line="400" w:lineRule="exact"/>
              <w:jc w:val="left"/>
              <w:rPr>
                <w:rFonts w:ascii="Times New Roman" w:hAnsi="Times New Roman" w:eastAsia="方正仿宋_GBK"/>
                <w:sz w:val="28"/>
              </w:rPr>
            </w:pPr>
            <w:r>
              <w:rPr>
                <w:rFonts w:hint="eastAsia" w:ascii="Times New Roman" w:hAnsi="Times New Roman" w:eastAsia="方正仿宋_GBK"/>
                <w:sz w:val="28"/>
              </w:rPr>
              <w:t>煤磨袋式收尘器、煤粉仓未设置温度和固定式一氧化碳浓度监测报警装置，或者未设置气体灭火装置的</w:t>
            </w:r>
          </w:p>
        </w:tc>
        <w:tc>
          <w:tcPr>
            <w:tcW w:w="4431" w:type="dxa"/>
            <w:vAlign w:val="center"/>
          </w:tcPr>
          <w:p w14:paraId="4C6DCAE0">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《工贸企业重大事故隐患判定标准》第六条第一项</w:t>
            </w:r>
          </w:p>
          <w:p w14:paraId="2B0CDC6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27710E67">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361F5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398CED7">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1843C182">
            <w:pPr>
              <w:spacing w:line="400" w:lineRule="exact"/>
              <w:jc w:val="center"/>
              <w:rPr>
                <w:rFonts w:ascii="Times New Roman" w:hAnsi="Times New Roman" w:eastAsia="方正仿宋_GBK"/>
                <w:b/>
                <w:bCs/>
                <w:sz w:val="28"/>
              </w:rPr>
            </w:pPr>
          </w:p>
        </w:tc>
        <w:tc>
          <w:tcPr>
            <w:tcW w:w="4705" w:type="dxa"/>
            <w:vAlign w:val="center"/>
          </w:tcPr>
          <w:p w14:paraId="7A6362ED">
            <w:pPr>
              <w:spacing w:line="400" w:lineRule="exact"/>
              <w:jc w:val="left"/>
              <w:rPr>
                <w:rFonts w:ascii="Times New Roman" w:hAnsi="Times New Roman" w:eastAsia="方正仿宋_GBK"/>
                <w:sz w:val="28"/>
              </w:rPr>
            </w:pPr>
            <w:r>
              <w:rPr>
                <w:rFonts w:hint="eastAsia" w:ascii="Times New Roman" w:hAnsi="Times New Roman" w:eastAsia="方正仿宋_GBK"/>
                <w:sz w:val="28"/>
              </w:rPr>
              <w:t>筒型储库人工清库作业未落实清库方案中防止高处坠落、坍塌等安全措施的</w:t>
            </w:r>
          </w:p>
        </w:tc>
        <w:tc>
          <w:tcPr>
            <w:tcW w:w="4431" w:type="dxa"/>
            <w:vAlign w:val="center"/>
          </w:tcPr>
          <w:p w14:paraId="51D721F8">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《工贸企业重大事故隐患判定标准》第六条第二项</w:t>
            </w:r>
          </w:p>
          <w:p w14:paraId="453F1B4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210774FA">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FCEB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6B0E3FA4">
            <w:pPr>
              <w:spacing w:line="400" w:lineRule="exact"/>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1CAC5CB5">
            <w:pPr>
              <w:spacing w:line="400" w:lineRule="exact"/>
              <w:jc w:val="center"/>
              <w:rPr>
                <w:rFonts w:ascii="Times New Roman" w:hAnsi="Times New Roman" w:eastAsia="方正仿宋_GBK"/>
                <w:b/>
                <w:bCs/>
                <w:sz w:val="28"/>
              </w:rPr>
            </w:pPr>
          </w:p>
        </w:tc>
        <w:tc>
          <w:tcPr>
            <w:tcW w:w="4705" w:type="dxa"/>
            <w:vAlign w:val="center"/>
          </w:tcPr>
          <w:p w14:paraId="1B6D5569">
            <w:pPr>
              <w:spacing w:line="400" w:lineRule="exact"/>
              <w:jc w:val="left"/>
              <w:rPr>
                <w:rFonts w:ascii="Times New Roman" w:hAnsi="Times New Roman" w:eastAsia="方正仿宋_GBK"/>
                <w:sz w:val="28"/>
              </w:rPr>
            </w:pPr>
            <w:r>
              <w:rPr>
                <w:rFonts w:hint="eastAsia" w:ascii="Times New Roman" w:hAnsi="Times New Roman" w:eastAsia="方正仿宋_GBK"/>
                <w:sz w:val="28"/>
              </w:rPr>
              <w:t>水泥企业电石渣原料筒型储库未设置固定式可燃气体浓度监测报警装置，或者监测报警装置未与事故通风装置联锁的</w:t>
            </w:r>
          </w:p>
        </w:tc>
        <w:tc>
          <w:tcPr>
            <w:tcW w:w="4431" w:type="dxa"/>
            <w:vAlign w:val="center"/>
          </w:tcPr>
          <w:p w14:paraId="4C7265D3">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《工贸企业重大事故隐患判定标准》第六条第三项</w:t>
            </w:r>
          </w:p>
          <w:p w14:paraId="5BB930D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6A934BC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1738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28" w:type="dxa"/>
            <w:noWrap/>
            <w:vAlign w:val="center"/>
          </w:tcPr>
          <w:p w14:paraId="27462EEF">
            <w:pPr>
              <w:spacing w:line="400" w:lineRule="exact"/>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4A8352BA">
            <w:pPr>
              <w:spacing w:line="400" w:lineRule="exact"/>
              <w:jc w:val="center"/>
              <w:rPr>
                <w:rFonts w:ascii="Times New Roman" w:hAnsi="Times New Roman" w:eastAsia="方正仿宋_GBK"/>
                <w:b/>
                <w:bCs/>
                <w:sz w:val="28"/>
              </w:rPr>
            </w:pPr>
          </w:p>
        </w:tc>
        <w:tc>
          <w:tcPr>
            <w:tcW w:w="4705" w:type="dxa"/>
            <w:vAlign w:val="center"/>
          </w:tcPr>
          <w:p w14:paraId="2B09837C">
            <w:pPr>
              <w:spacing w:line="400" w:lineRule="exact"/>
              <w:jc w:val="left"/>
              <w:rPr>
                <w:rFonts w:ascii="Times New Roman" w:hAnsi="Times New Roman" w:eastAsia="方正仿宋_GBK"/>
                <w:sz w:val="28"/>
              </w:rPr>
            </w:pPr>
            <w:r>
              <w:rPr>
                <w:rFonts w:hint="eastAsia" w:ascii="Times New Roman" w:hAnsi="Times New Roman" w:eastAsia="方正仿宋_GBK"/>
                <w:sz w:val="28"/>
              </w:rPr>
              <w:t>进入筒型储库、焙烧窑、预热器旋风筒、分解炉、竖炉、篦冷机、磨机、破碎机前，未对可能意外启动的设备和涌入的物料、高温气体、有毒有害气体等采取隔离措施，或者未落实防止高处坠落、坍塌等安全措施的</w:t>
            </w:r>
          </w:p>
        </w:tc>
        <w:tc>
          <w:tcPr>
            <w:tcW w:w="4431" w:type="dxa"/>
            <w:vAlign w:val="center"/>
          </w:tcPr>
          <w:p w14:paraId="270604B0">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《工贸企业重大事故隐患判定标准》第六条第四项</w:t>
            </w:r>
          </w:p>
          <w:p w14:paraId="2CEEA93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5ADE24DA">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73864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746FFC1D">
            <w:pPr>
              <w:spacing w:line="400" w:lineRule="exact"/>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0727EDA8">
            <w:pPr>
              <w:spacing w:line="400" w:lineRule="exact"/>
              <w:jc w:val="center"/>
              <w:rPr>
                <w:rFonts w:ascii="Times New Roman" w:hAnsi="Times New Roman" w:eastAsia="方正仿宋_GBK"/>
                <w:b/>
                <w:bCs/>
                <w:sz w:val="28"/>
              </w:rPr>
            </w:pPr>
          </w:p>
        </w:tc>
        <w:tc>
          <w:tcPr>
            <w:tcW w:w="4705" w:type="dxa"/>
            <w:vAlign w:val="center"/>
          </w:tcPr>
          <w:p w14:paraId="21D50918">
            <w:pPr>
              <w:spacing w:line="400" w:lineRule="exact"/>
              <w:jc w:val="left"/>
              <w:rPr>
                <w:rFonts w:ascii="Times New Roman" w:hAnsi="Times New Roman" w:eastAsia="方正仿宋_GBK"/>
                <w:sz w:val="28"/>
              </w:rPr>
            </w:pPr>
            <w:r>
              <w:rPr>
                <w:rFonts w:hint="eastAsia" w:ascii="Times New Roman" w:hAnsi="Times New Roman" w:eastAsia="方正仿宋_GBK"/>
                <w:sz w:val="28"/>
              </w:rPr>
              <w:t>采用预混燃烧方式的燃气窑炉（热发生炉煤气窑炉除外）的燃气总管未设置管道压力监测报警装置，或者监测报警装置未与紧急自动切断装置联锁</w:t>
            </w:r>
          </w:p>
        </w:tc>
        <w:tc>
          <w:tcPr>
            <w:tcW w:w="4431" w:type="dxa"/>
            <w:vAlign w:val="center"/>
          </w:tcPr>
          <w:p w14:paraId="04CAA701">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《工贸企业重大事故隐患判定标准》第六条第五项</w:t>
            </w:r>
          </w:p>
          <w:p w14:paraId="6D757733">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4E6AD550">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23EA2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234C6E6">
            <w:pPr>
              <w:spacing w:line="400" w:lineRule="exact"/>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3DBF2638">
            <w:pPr>
              <w:spacing w:line="400" w:lineRule="exact"/>
              <w:jc w:val="center"/>
              <w:rPr>
                <w:rFonts w:ascii="Times New Roman" w:hAnsi="Times New Roman" w:eastAsia="方正仿宋_GBK"/>
                <w:b/>
                <w:bCs/>
                <w:sz w:val="28"/>
              </w:rPr>
            </w:pPr>
          </w:p>
        </w:tc>
        <w:tc>
          <w:tcPr>
            <w:tcW w:w="4705" w:type="dxa"/>
            <w:vAlign w:val="center"/>
          </w:tcPr>
          <w:p w14:paraId="692A02D1">
            <w:pPr>
              <w:spacing w:line="400" w:lineRule="exact"/>
              <w:jc w:val="left"/>
              <w:rPr>
                <w:rFonts w:ascii="Times New Roman" w:hAnsi="Times New Roman" w:eastAsia="方正仿宋_GBK"/>
                <w:sz w:val="28"/>
              </w:rPr>
            </w:pPr>
            <w:r>
              <w:rPr>
                <w:rFonts w:hint="eastAsia" w:ascii="Times New Roman" w:hAnsi="Times New Roman" w:eastAsia="方正仿宋_GBK"/>
                <w:sz w:val="28"/>
              </w:rPr>
              <w:t>制氢站、氮氢保护气体配气间、燃气配气间等3类场所未设置固定式可燃气体浓度监测报警装置的</w:t>
            </w:r>
          </w:p>
        </w:tc>
        <w:tc>
          <w:tcPr>
            <w:tcW w:w="4431" w:type="dxa"/>
            <w:vAlign w:val="center"/>
          </w:tcPr>
          <w:p w14:paraId="0BBAFFE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《工贸企业重大事故隐患判定标准》第六条第六项</w:t>
            </w:r>
          </w:p>
          <w:p w14:paraId="1FF894BE">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E6F039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0DC4E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6A215B7E">
            <w:pPr>
              <w:spacing w:line="400" w:lineRule="exact"/>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1CBFD1CF">
            <w:pPr>
              <w:spacing w:line="400" w:lineRule="exact"/>
              <w:jc w:val="center"/>
              <w:rPr>
                <w:rFonts w:ascii="Times New Roman" w:hAnsi="Times New Roman" w:eastAsia="方正仿宋_GBK"/>
                <w:b/>
                <w:bCs/>
                <w:sz w:val="28"/>
              </w:rPr>
            </w:pPr>
          </w:p>
        </w:tc>
        <w:tc>
          <w:tcPr>
            <w:tcW w:w="4705" w:type="dxa"/>
            <w:vAlign w:val="center"/>
          </w:tcPr>
          <w:p w14:paraId="05E0AE4C">
            <w:pPr>
              <w:spacing w:line="400" w:lineRule="exact"/>
              <w:jc w:val="left"/>
              <w:rPr>
                <w:rFonts w:ascii="Times New Roman" w:hAnsi="Times New Roman" w:eastAsia="方正仿宋_GBK"/>
                <w:sz w:val="28"/>
              </w:rPr>
            </w:pPr>
            <w:r>
              <w:rPr>
                <w:rFonts w:hint="eastAsia" w:ascii="Times New Roman" w:hAnsi="Times New Roman" w:eastAsia="方正仿宋_GBK"/>
                <w:sz w:val="28"/>
              </w:rPr>
              <w:t>电熔制品电炉的水冷设备失效的</w:t>
            </w:r>
          </w:p>
        </w:tc>
        <w:tc>
          <w:tcPr>
            <w:tcW w:w="4431" w:type="dxa"/>
            <w:vAlign w:val="center"/>
          </w:tcPr>
          <w:p w14:paraId="178B40A6">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《工贸企业重大事故隐患判定标准》第六条第七项</w:t>
            </w:r>
          </w:p>
          <w:p w14:paraId="543BEC22">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19DEA74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4448C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56867068">
            <w:pPr>
              <w:spacing w:line="400" w:lineRule="exact"/>
              <w:jc w:val="center"/>
              <w:rPr>
                <w:rFonts w:ascii="Times New Roman" w:hAnsi="Times New Roman" w:eastAsia="方正仿宋_GBK"/>
                <w:sz w:val="28"/>
              </w:rPr>
            </w:pPr>
            <w:r>
              <w:rPr>
                <w:rFonts w:hint="eastAsia" w:ascii="Times New Roman" w:hAnsi="Times New Roman" w:eastAsia="方正仿宋_GBK"/>
                <w:sz w:val="28"/>
              </w:rPr>
              <w:t>8</w:t>
            </w:r>
          </w:p>
        </w:tc>
        <w:tc>
          <w:tcPr>
            <w:tcW w:w="886" w:type="dxa"/>
            <w:vMerge w:val="continue"/>
            <w:vAlign w:val="center"/>
          </w:tcPr>
          <w:p w14:paraId="7E9317E6">
            <w:pPr>
              <w:spacing w:line="400" w:lineRule="exact"/>
              <w:jc w:val="center"/>
              <w:rPr>
                <w:rFonts w:ascii="Times New Roman" w:hAnsi="Times New Roman" w:eastAsia="方正仿宋_GBK"/>
                <w:b/>
                <w:bCs/>
                <w:sz w:val="28"/>
              </w:rPr>
            </w:pPr>
          </w:p>
        </w:tc>
        <w:tc>
          <w:tcPr>
            <w:tcW w:w="4705" w:type="dxa"/>
            <w:vAlign w:val="center"/>
          </w:tcPr>
          <w:p w14:paraId="6C08D5C0">
            <w:pPr>
              <w:spacing w:line="400" w:lineRule="exact"/>
              <w:jc w:val="left"/>
              <w:rPr>
                <w:rFonts w:ascii="Times New Roman" w:hAnsi="Times New Roman" w:eastAsia="方正仿宋_GBK"/>
                <w:sz w:val="28"/>
              </w:rPr>
            </w:pPr>
            <w:r>
              <w:rPr>
                <w:rFonts w:hint="eastAsia" w:ascii="Times New Roman" w:hAnsi="Times New Roman" w:eastAsia="方正仿宋_GBK"/>
                <w:sz w:val="28"/>
              </w:rPr>
              <w:t>玻璃窑炉、玻璃锡槽等设备未设置水冷和风冷保护系统的监测报警装置的</w:t>
            </w:r>
          </w:p>
        </w:tc>
        <w:tc>
          <w:tcPr>
            <w:tcW w:w="4431" w:type="dxa"/>
            <w:vAlign w:val="center"/>
          </w:tcPr>
          <w:p w14:paraId="29FD290D">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《工贸企业重大事故隐患判定标准》第六条第八项</w:t>
            </w:r>
          </w:p>
          <w:p w14:paraId="701CACC3">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71CBB4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71EA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3816E62E">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6189316D">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机械</w:t>
            </w:r>
          </w:p>
        </w:tc>
        <w:tc>
          <w:tcPr>
            <w:tcW w:w="4705" w:type="dxa"/>
            <w:vAlign w:val="center"/>
          </w:tcPr>
          <w:p w14:paraId="6739FDB5">
            <w:pPr>
              <w:spacing w:line="400" w:lineRule="exact"/>
              <w:jc w:val="left"/>
              <w:rPr>
                <w:rFonts w:ascii="Times New Roman" w:hAnsi="Times New Roman" w:eastAsia="方正仿宋_GBK"/>
                <w:sz w:val="28"/>
              </w:rPr>
            </w:pPr>
            <w:r>
              <w:rPr>
                <w:rFonts w:hint="eastAsia" w:ascii="Times New Roman" w:hAnsi="Times New Roman" w:eastAsia="方正仿宋_GBK"/>
                <w:sz w:val="28"/>
              </w:rPr>
              <w:t>会议室、活动室、休息室、更衣室、交接班室等5类人员聚集场所设置在熔融金属吊运跨或者浇注跨的地坪区域内的</w:t>
            </w:r>
          </w:p>
        </w:tc>
        <w:tc>
          <w:tcPr>
            <w:tcW w:w="4431" w:type="dxa"/>
            <w:vAlign w:val="center"/>
          </w:tcPr>
          <w:p w14:paraId="36C70429">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《工贸企业重大事故隐患判定标准》第七条第一项</w:t>
            </w:r>
          </w:p>
          <w:p w14:paraId="0BF778F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2FE7FD3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38672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56575A1A">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702871E2">
            <w:pPr>
              <w:spacing w:line="400" w:lineRule="exact"/>
              <w:jc w:val="center"/>
              <w:rPr>
                <w:rFonts w:ascii="Times New Roman" w:hAnsi="Times New Roman" w:eastAsia="方正仿宋_GBK"/>
                <w:b/>
                <w:bCs/>
                <w:sz w:val="28"/>
              </w:rPr>
            </w:pPr>
          </w:p>
        </w:tc>
        <w:tc>
          <w:tcPr>
            <w:tcW w:w="4705" w:type="dxa"/>
            <w:vAlign w:val="center"/>
          </w:tcPr>
          <w:p w14:paraId="5AA5CE28">
            <w:pPr>
              <w:spacing w:line="400" w:lineRule="exact"/>
              <w:jc w:val="left"/>
              <w:rPr>
                <w:rFonts w:ascii="Times New Roman" w:hAnsi="Times New Roman" w:eastAsia="方正仿宋_GBK"/>
                <w:sz w:val="28"/>
              </w:rPr>
            </w:pPr>
            <w:r>
              <w:rPr>
                <w:rFonts w:hint="eastAsia" w:ascii="Times New Roman" w:hAnsi="Times New Roman" w:eastAsia="方正仿宋_GBK"/>
                <w:sz w:val="28"/>
              </w:rPr>
              <w:t>铸造用熔炼炉、精炼炉、保温炉未设置紧急排放和应急储存设施的</w:t>
            </w:r>
          </w:p>
        </w:tc>
        <w:tc>
          <w:tcPr>
            <w:tcW w:w="4431" w:type="dxa"/>
            <w:vAlign w:val="center"/>
          </w:tcPr>
          <w:p w14:paraId="25E2B378">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《工贸企业重大事故隐患判定标准》第七条第二项</w:t>
            </w:r>
          </w:p>
          <w:p w14:paraId="050BBB6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2E20B908">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D2C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68A61859">
            <w:pPr>
              <w:spacing w:line="400" w:lineRule="exact"/>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4700EC97">
            <w:pPr>
              <w:spacing w:line="400" w:lineRule="exact"/>
              <w:jc w:val="center"/>
              <w:rPr>
                <w:rFonts w:ascii="Times New Roman" w:hAnsi="Times New Roman" w:eastAsia="方正仿宋_GBK"/>
                <w:b/>
                <w:bCs/>
                <w:sz w:val="28"/>
              </w:rPr>
            </w:pPr>
          </w:p>
        </w:tc>
        <w:tc>
          <w:tcPr>
            <w:tcW w:w="4705" w:type="dxa"/>
            <w:vAlign w:val="center"/>
          </w:tcPr>
          <w:p w14:paraId="09814A08">
            <w:pPr>
              <w:spacing w:line="400" w:lineRule="exact"/>
              <w:jc w:val="left"/>
              <w:rPr>
                <w:rFonts w:ascii="Times New Roman" w:hAnsi="Times New Roman" w:eastAsia="方正仿宋_GBK"/>
                <w:sz w:val="28"/>
              </w:rPr>
            </w:pPr>
            <w:r>
              <w:rPr>
                <w:rFonts w:hint="eastAsia" w:ascii="Times New Roman" w:hAnsi="Times New Roman" w:eastAsia="方正仿宋_GBK"/>
                <w:sz w:val="28"/>
              </w:rPr>
              <w:t>生产期间铸造用熔炼炉、精炼炉、保温炉的炉底、炉坑和事故坑，以及熔融金属泄漏、喷溅影响范围内的炉前平台、炉基区域、造型地坑、浇注作业坑和熔融金属转运通道等8类区域存在积水的</w:t>
            </w:r>
          </w:p>
        </w:tc>
        <w:tc>
          <w:tcPr>
            <w:tcW w:w="4431" w:type="dxa"/>
            <w:vAlign w:val="center"/>
          </w:tcPr>
          <w:p w14:paraId="4001BAF8">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《工贸企业重大事故隐患判定标准》第七条第三项</w:t>
            </w:r>
          </w:p>
          <w:p w14:paraId="1D6EA06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380D316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714EB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6431BDA7">
            <w:pPr>
              <w:spacing w:line="400" w:lineRule="exact"/>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6345A77A">
            <w:pPr>
              <w:spacing w:line="400" w:lineRule="exact"/>
              <w:jc w:val="center"/>
              <w:rPr>
                <w:rFonts w:ascii="Times New Roman" w:hAnsi="Times New Roman" w:eastAsia="方正仿宋_GBK"/>
                <w:b/>
                <w:bCs/>
                <w:sz w:val="28"/>
              </w:rPr>
            </w:pPr>
          </w:p>
        </w:tc>
        <w:tc>
          <w:tcPr>
            <w:tcW w:w="4705" w:type="dxa"/>
            <w:vAlign w:val="center"/>
          </w:tcPr>
          <w:p w14:paraId="0236DE2C">
            <w:pPr>
              <w:spacing w:line="400" w:lineRule="exact"/>
              <w:jc w:val="left"/>
              <w:rPr>
                <w:rFonts w:ascii="Times New Roman" w:hAnsi="Times New Roman" w:eastAsia="方正仿宋_GBK"/>
                <w:sz w:val="28"/>
              </w:rPr>
            </w:pPr>
            <w:r>
              <w:rPr>
                <w:rFonts w:hint="eastAsia" w:ascii="Times New Roman" w:hAnsi="Times New Roman" w:eastAsia="方正仿宋_GBK"/>
                <w:sz w:val="28"/>
              </w:rPr>
              <w:t>铸造用熔炼炉、精炼炉、压铸机、氧枪的冷却水系统未设置出水温度、进出水流量差监测报警装置，或者监测报警装置未与熔融金属加热、输送控制系统联锁的</w:t>
            </w:r>
          </w:p>
        </w:tc>
        <w:tc>
          <w:tcPr>
            <w:tcW w:w="4431" w:type="dxa"/>
            <w:vAlign w:val="center"/>
          </w:tcPr>
          <w:p w14:paraId="0DF5F236">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《工贸企业重大事故隐患判定标准》第七条第四项</w:t>
            </w:r>
          </w:p>
          <w:p w14:paraId="2F59CC40">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22FD7A6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08D03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4BE5028">
            <w:pPr>
              <w:spacing w:line="400" w:lineRule="exact"/>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4415F290">
            <w:pPr>
              <w:spacing w:line="400" w:lineRule="exact"/>
              <w:jc w:val="center"/>
              <w:rPr>
                <w:rFonts w:ascii="Times New Roman" w:hAnsi="Times New Roman" w:eastAsia="方正仿宋_GBK"/>
                <w:b/>
                <w:bCs/>
                <w:sz w:val="28"/>
              </w:rPr>
            </w:pPr>
          </w:p>
        </w:tc>
        <w:tc>
          <w:tcPr>
            <w:tcW w:w="4705" w:type="dxa"/>
            <w:vAlign w:val="center"/>
          </w:tcPr>
          <w:p w14:paraId="190744AC">
            <w:pPr>
              <w:spacing w:line="400" w:lineRule="exact"/>
              <w:jc w:val="left"/>
              <w:rPr>
                <w:rFonts w:ascii="Times New Roman" w:hAnsi="Times New Roman" w:eastAsia="方正仿宋_GBK"/>
                <w:sz w:val="28"/>
              </w:rPr>
            </w:pPr>
            <w:r>
              <w:rPr>
                <w:rFonts w:hint="eastAsia" w:ascii="Times New Roman" w:hAnsi="Times New Roman" w:eastAsia="方正仿宋_GBK"/>
                <w:sz w:val="28"/>
              </w:rPr>
              <w:t>使用煤气（天然气）的燃烧装置的燃气总管未设置管道压力监测报警装置，或者监测报警装置未与紧急自动切断装置联锁，或者燃烧装置未设置火焰监测和熄火保护系统的</w:t>
            </w:r>
          </w:p>
        </w:tc>
        <w:tc>
          <w:tcPr>
            <w:tcW w:w="4431" w:type="dxa"/>
            <w:vAlign w:val="center"/>
          </w:tcPr>
          <w:p w14:paraId="46E24377">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《工贸企业重大事故隐患判定标准》第七条第五项</w:t>
            </w:r>
          </w:p>
          <w:p w14:paraId="714302E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32D3F7A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37AF2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378B4170">
            <w:pPr>
              <w:spacing w:line="400" w:lineRule="exact"/>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745A2BE4">
            <w:pPr>
              <w:spacing w:line="400" w:lineRule="exact"/>
              <w:jc w:val="center"/>
              <w:rPr>
                <w:rFonts w:ascii="Times New Roman" w:hAnsi="Times New Roman" w:eastAsia="方正仿宋_GBK"/>
                <w:b/>
                <w:bCs/>
                <w:sz w:val="28"/>
              </w:rPr>
            </w:pPr>
          </w:p>
        </w:tc>
        <w:tc>
          <w:tcPr>
            <w:tcW w:w="4705" w:type="dxa"/>
            <w:vAlign w:val="center"/>
          </w:tcPr>
          <w:p w14:paraId="4252D199">
            <w:pPr>
              <w:spacing w:line="400" w:lineRule="exact"/>
              <w:jc w:val="left"/>
              <w:rPr>
                <w:rFonts w:ascii="Times New Roman" w:hAnsi="Times New Roman" w:eastAsia="方正仿宋_GBK"/>
                <w:sz w:val="28"/>
              </w:rPr>
            </w:pPr>
            <w:r>
              <w:rPr>
                <w:rFonts w:hint="eastAsia" w:ascii="Times New Roman" w:hAnsi="Times New Roman" w:eastAsia="方正仿宋_GBK"/>
                <w:sz w:val="28"/>
              </w:rPr>
              <w:t>使用可燃性有机溶剂清洗设备设施、工装器具、地面时，未采取防止可燃气体在周边密闭或者半密闭空间内积聚措施的</w:t>
            </w:r>
          </w:p>
        </w:tc>
        <w:tc>
          <w:tcPr>
            <w:tcW w:w="4431" w:type="dxa"/>
            <w:vAlign w:val="center"/>
          </w:tcPr>
          <w:p w14:paraId="7E3FB983">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《工贸企业重大事故隐患判定标准》第七条第六项</w:t>
            </w:r>
          </w:p>
          <w:p w14:paraId="6DBCDC1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《中华人民共和国安全生产法》第三十九条第二款</w:t>
            </w:r>
          </w:p>
        </w:tc>
        <w:tc>
          <w:tcPr>
            <w:tcW w:w="4200" w:type="dxa"/>
            <w:vAlign w:val="center"/>
          </w:tcPr>
          <w:p w14:paraId="0155126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《中华人民共和国安全生产法》第一百零一条第一项</w:t>
            </w:r>
          </w:p>
        </w:tc>
      </w:tr>
      <w:tr w14:paraId="1BB1E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56B6F79D">
            <w:pPr>
              <w:spacing w:line="400" w:lineRule="exact"/>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44462863">
            <w:pPr>
              <w:spacing w:line="400" w:lineRule="exact"/>
              <w:jc w:val="center"/>
              <w:rPr>
                <w:rFonts w:ascii="Times New Roman" w:hAnsi="Times New Roman" w:eastAsia="方正仿宋_GBK"/>
                <w:b/>
                <w:bCs/>
                <w:sz w:val="28"/>
              </w:rPr>
            </w:pPr>
          </w:p>
        </w:tc>
        <w:tc>
          <w:tcPr>
            <w:tcW w:w="4705" w:type="dxa"/>
            <w:vAlign w:val="center"/>
          </w:tcPr>
          <w:p w14:paraId="52883C73">
            <w:pPr>
              <w:spacing w:line="400" w:lineRule="exact"/>
              <w:jc w:val="left"/>
              <w:rPr>
                <w:rFonts w:ascii="Times New Roman" w:hAnsi="Times New Roman" w:eastAsia="方正仿宋_GBK"/>
                <w:sz w:val="28"/>
              </w:rPr>
            </w:pPr>
            <w:r>
              <w:rPr>
                <w:rFonts w:hint="eastAsia" w:ascii="Times New Roman" w:hAnsi="Times New Roman" w:eastAsia="方正仿宋_GBK"/>
                <w:sz w:val="28"/>
              </w:rPr>
              <w:t>使用非水性漆的调漆间、喷漆室未设置固定式可燃气体浓度监测报警装置或者通风设施的</w:t>
            </w:r>
          </w:p>
        </w:tc>
        <w:tc>
          <w:tcPr>
            <w:tcW w:w="4431" w:type="dxa"/>
            <w:vAlign w:val="center"/>
          </w:tcPr>
          <w:p w14:paraId="4F83E37D">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《工贸企业重大事故隐患判定标准》第七条第七项</w:t>
            </w:r>
          </w:p>
          <w:p w14:paraId="11BB18D7">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51B4AF32">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4B77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133B1AEB">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5D8464F0">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轻工</w:t>
            </w:r>
          </w:p>
        </w:tc>
        <w:tc>
          <w:tcPr>
            <w:tcW w:w="4705" w:type="dxa"/>
            <w:vAlign w:val="center"/>
          </w:tcPr>
          <w:p w14:paraId="3B21348A">
            <w:pPr>
              <w:spacing w:line="400" w:lineRule="exact"/>
              <w:jc w:val="left"/>
              <w:rPr>
                <w:rFonts w:ascii="Times New Roman" w:hAnsi="Times New Roman" w:eastAsia="方正仿宋_GBK"/>
                <w:sz w:val="28"/>
              </w:rPr>
            </w:pPr>
            <w:r>
              <w:rPr>
                <w:rFonts w:hint="eastAsia" w:ascii="Times New Roman" w:hAnsi="Times New Roman" w:eastAsia="方正仿宋_GBK"/>
                <w:sz w:val="28"/>
              </w:rPr>
              <w:t>食品制造企业烘制、油炸设备未设置防过热自动切断装置的</w:t>
            </w:r>
          </w:p>
        </w:tc>
        <w:tc>
          <w:tcPr>
            <w:tcW w:w="4431" w:type="dxa"/>
            <w:vAlign w:val="center"/>
          </w:tcPr>
          <w:p w14:paraId="03E95473">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《工贸企业重大事故隐患判定标准》第八条第一项</w:t>
            </w:r>
          </w:p>
          <w:p w14:paraId="295969B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663A46B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0EBAC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6EAE7A1E">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368FB5E7">
            <w:pPr>
              <w:spacing w:line="400" w:lineRule="exact"/>
              <w:jc w:val="center"/>
              <w:rPr>
                <w:rFonts w:ascii="Times New Roman" w:hAnsi="Times New Roman" w:eastAsia="方正仿宋_GBK"/>
                <w:b/>
                <w:bCs/>
                <w:sz w:val="28"/>
              </w:rPr>
            </w:pPr>
          </w:p>
        </w:tc>
        <w:tc>
          <w:tcPr>
            <w:tcW w:w="4705" w:type="dxa"/>
            <w:vAlign w:val="center"/>
          </w:tcPr>
          <w:p w14:paraId="42423310">
            <w:pPr>
              <w:spacing w:line="400" w:lineRule="exact"/>
              <w:jc w:val="left"/>
              <w:rPr>
                <w:rFonts w:ascii="Times New Roman" w:hAnsi="Times New Roman" w:eastAsia="方正仿宋_GBK"/>
                <w:sz w:val="28"/>
              </w:rPr>
            </w:pPr>
            <w:r>
              <w:rPr>
                <w:rFonts w:hint="eastAsia" w:ascii="Times New Roman" w:hAnsi="Times New Roman" w:eastAsia="方正仿宋_GBK"/>
                <w:sz w:val="28"/>
              </w:rPr>
              <w:t>白酒勾兑、灌装场所和酒库未设置固定式乙醇蒸气浓度监测报警装置，或者监测报警装置未与通风设施联锁的</w:t>
            </w:r>
          </w:p>
        </w:tc>
        <w:tc>
          <w:tcPr>
            <w:tcW w:w="4431" w:type="dxa"/>
            <w:vAlign w:val="center"/>
          </w:tcPr>
          <w:p w14:paraId="00ADC5F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《工贸企业重大事故隐患判定标准》第八条第二项</w:t>
            </w:r>
          </w:p>
          <w:p w14:paraId="2590E781">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430E17F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0A44B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2F9257E7">
            <w:pPr>
              <w:spacing w:line="400" w:lineRule="exact"/>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1C43159B">
            <w:pPr>
              <w:spacing w:line="400" w:lineRule="exact"/>
              <w:jc w:val="center"/>
              <w:rPr>
                <w:rFonts w:ascii="Times New Roman" w:hAnsi="Times New Roman" w:eastAsia="方正仿宋_GBK"/>
                <w:b/>
                <w:bCs/>
                <w:sz w:val="28"/>
              </w:rPr>
            </w:pPr>
          </w:p>
        </w:tc>
        <w:tc>
          <w:tcPr>
            <w:tcW w:w="4705" w:type="dxa"/>
            <w:vAlign w:val="center"/>
          </w:tcPr>
          <w:p w14:paraId="54A0A93C">
            <w:pPr>
              <w:spacing w:line="400" w:lineRule="exact"/>
              <w:jc w:val="left"/>
              <w:rPr>
                <w:rFonts w:ascii="Times New Roman" w:hAnsi="Times New Roman" w:eastAsia="方正仿宋_GBK"/>
                <w:sz w:val="28"/>
              </w:rPr>
            </w:pPr>
            <w:r>
              <w:rPr>
                <w:rFonts w:hint="eastAsia" w:ascii="Times New Roman" w:hAnsi="Times New Roman" w:eastAsia="方正仿宋_GBK"/>
                <w:sz w:val="28"/>
              </w:rPr>
              <w:t>纸浆制造、造纸企业使用蒸气、明火直接加热钢瓶汽化液氯的</w:t>
            </w:r>
          </w:p>
        </w:tc>
        <w:tc>
          <w:tcPr>
            <w:tcW w:w="4431" w:type="dxa"/>
            <w:vAlign w:val="center"/>
          </w:tcPr>
          <w:p w14:paraId="3289390A">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《工贸企业重大事故隐患判定标准》第八条第三项</w:t>
            </w:r>
          </w:p>
          <w:p w14:paraId="555E1118">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14C2A51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7935E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097C0310">
            <w:pPr>
              <w:spacing w:line="400" w:lineRule="exact"/>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758E4065">
            <w:pPr>
              <w:spacing w:line="400" w:lineRule="exact"/>
              <w:jc w:val="center"/>
              <w:rPr>
                <w:rFonts w:ascii="Times New Roman" w:hAnsi="Times New Roman" w:eastAsia="方正仿宋_GBK"/>
                <w:b/>
                <w:bCs/>
                <w:sz w:val="28"/>
              </w:rPr>
            </w:pPr>
          </w:p>
        </w:tc>
        <w:tc>
          <w:tcPr>
            <w:tcW w:w="4705" w:type="dxa"/>
            <w:vAlign w:val="center"/>
          </w:tcPr>
          <w:p w14:paraId="6D495CBF">
            <w:pPr>
              <w:spacing w:line="400" w:lineRule="exact"/>
              <w:jc w:val="left"/>
              <w:rPr>
                <w:rFonts w:ascii="Times New Roman" w:hAnsi="Times New Roman" w:eastAsia="方正仿宋_GBK"/>
                <w:sz w:val="28"/>
              </w:rPr>
            </w:pPr>
            <w:r>
              <w:rPr>
                <w:rFonts w:hint="eastAsia" w:ascii="Times New Roman" w:hAnsi="Times New Roman" w:eastAsia="方正仿宋_GBK"/>
                <w:sz w:val="28"/>
              </w:rPr>
              <w:t>日用玻璃、陶瓷制造企业采用预混燃烧方式的燃气窑炉（热发生炉煤气窑炉除外）的燃气总管未设置管道压力监测报警装置，或者监测报警装置未与紧急自动切断装置联锁的</w:t>
            </w:r>
          </w:p>
        </w:tc>
        <w:tc>
          <w:tcPr>
            <w:tcW w:w="4431" w:type="dxa"/>
            <w:vAlign w:val="center"/>
          </w:tcPr>
          <w:p w14:paraId="3278078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《工贸企业重大事故隐患判定标准》第八条第四项</w:t>
            </w:r>
          </w:p>
          <w:p w14:paraId="41C63896">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6C75AB3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780A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24BE6854">
            <w:pPr>
              <w:spacing w:line="400" w:lineRule="exact"/>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37B52E2A">
            <w:pPr>
              <w:spacing w:line="400" w:lineRule="exact"/>
              <w:jc w:val="center"/>
              <w:rPr>
                <w:rFonts w:ascii="Times New Roman" w:hAnsi="Times New Roman" w:eastAsia="方正仿宋_GBK"/>
                <w:b/>
                <w:bCs/>
                <w:sz w:val="28"/>
              </w:rPr>
            </w:pPr>
          </w:p>
        </w:tc>
        <w:tc>
          <w:tcPr>
            <w:tcW w:w="4705" w:type="dxa"/>
            <w:vAlign w:val="center"/>
          </w:tcPr>
          <w:p w14:paraId="3CB8DE52">
            <w:pPr>
              <w:spacing w:line="400" w:lineRule="exact"/>
              <w:jc w:val="left"/>
              <w:rPr>
                <w:rFonts w:ascii="Times New Roman" w:hAnsi="Times New Roman" w:eastAsia="方正仿宋_GBK"/>
                <w:sz w:val="28"/>
              </w:rPr>
            </w:pPr>
            <w:r>
              <w:rPr>
                <w:rFonts w:hint="eastAsia" w:ascii="Times New Roman" w:hAnsi="Times New Roman" w:eastAsia="方正仿宋_GBK"/>
                <w:sz w:val="28"/>
              </w:rPr>
              <w:t>日用玻璃制造企业玻璃窑炉的冷却保护系统未设置监测报警装置的</w:t>
            </w:r>
          </w:p>
        </w:tc>
        <w:tc>
          <w:tcPr>
            <w:tcW w:w="4431" w:type="dxa"/>
            <w:vAlign w:val="center"/>
          </w:tcPr>
          <w:p w14:paraId="1B35BA32">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《工贸企业重大事故隐患判定标准》第八条第五项</w:t>
            </w:r>
          </w:p>
          <w:p w14:paraId="7734D1C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406183C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3339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429343FF">
            <w:pPr>
              <w:spacing w:line="400" w:lineRule="exact"/>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26A46E5F">
            <w:pPr>
              <w:spacing w:line="400" w:lineRule="exact"/>
              <w:jc w:val="center"/>
              <w:rPr>
                <w:rFonts w:ascii="Times New Roman" w:hAnsi="Times New Roman" w:eastAsia="方正仿宋_GBK"/>
                <w:b/>
                <w:bCs/>
                <w:sz w:val="28"/>
              </w:rPr>
            </w:pPr>
          </w:p>
        </w:tc>
        <w:tc>
          <w:tcPr>
            <w:tcW w:w="4705" w:type="dxa"/>
            <w:vAlign w:val="center"/>
          </w:tcPr>
          <w:p w14:paraId="0D2AF919">
            <w:pPr>
              <w:spacing w:line="400" w:lineRule="exact"/>
              <w:jc w:val="left"/>
              <w:rPr>
                <w:rFonts w:ascii="Times New Roman" w:hAnsi="Times New Roman" w:eastAsia="方正仿宋_GBK"/>
                <w:sz w:val="28"/>
              </w:rPr>
            </w:pPr>
            <w:r>
              <w:rPr>
                <w:rFonts w:hint="eastAsia" w:ascii="Times New Roman" w:hAnsi="Times New Roman" w:eastAsia="方正仿宋_GBK"/>
                <w:sz w:val="28"/>
              </w:rPr>
              <w:t>使用非水性漆的调漆间、喷漆室未设置固定式可燃气体浓度监测报警装置或者通风设施的</w:t>
            </w:r>
          </w:p>
        </w:tc>
        <w:tc>
          <w:tcPr>
            <w:tcW w:w="4431" w:type="dxa"/>
            <w:vAlign w:val="center"/>
          </w:tcPr>
          <w:p w14:paraId="44A2EB9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《工贸企业重大事故隐患判定标准》第八条第六项</w:t>
            </w:r>
          </w:p>
          <w:p w14:paraId="393563A3">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503C453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4CB5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3BCB515F">
            <w:pPr>
              <w:spacing w:line="400" w:lineRule="exact"/>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01FD7558">
            <w:pPr>
              <w:spacing w:line="400" w:lineRule="exact"/>
              <w:jc w:val="center"/>
              <w:rPr>
                <w:rFonts w:ascii="Times New Roman" w:hAnsi="Times New Roman" w:eastAsia="方正仿宋_GBK"/>
                <w:b/>
                <w:bCs/>
                <w:sz w:val="28"/>
              </w:rPr>
            </w:pPr>
          </w:p>
        </w:tc>
        <w:tc>
          <w:tcPr>
            <w:tcW w:w="4705" w:type="dxa"/>
            <w:vAlign w:val="center"/>
          </w:tcPr>
          <w:p w14:paraId="738B5D8C">
            <w:pPr>
              <w:spacing w:line="400" w:lineRule="exact"/>
              <w:jc w:val="left"/>
              <w:rPr>
                <w:rFonts w:ascii="Times New Roman" w:hAnsi="Times New Roman" w:eastAsia="方正仿宋_GBK"/>
                <w:sz w:val="28"/>
              </w:rPr>
            </w:pPr>
            <w:r>
              <w:rPr>
                <w:rFonts w:hint="eastAsia" w:ascii="Times New Roman" w:hAnsi="Times New Roman" w:eastAsia="方正仿宋_GBK"/>
                <w:sz w:val="28"/>
              </w:rPr>
              <w:t>锂离子电池储存仓库未对故障电池采取有效物理隔离措施的</w:t>
            </w:r>
          </w:p>
        </w:tc>
        <w:tc>
          <w:tcPr>
            <w:tcW w:w="4431" w:type="dxa"/>
            <w:vAlign w:val="center"/>
          </w:tcPr>
          <w:p w14:paraId="4490C6F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《工贸企业重大事故隐患判定标准》第八条第七项</w:t>
            </w:r>
          </w:p>
          <w:p w14:paraId="012E9D86">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745DC756">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65C0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5DB82937">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7D1212C5">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纺织</w:t>
            </w:r>
          </w:p>
        </w:tc>
        <w:tc>
          <w:tcPr>
            <w:tcW w:w="4705" w:type="dxa"/>
            <w:vAlign w:val="center"/>
          </w:tcPr>
          <w:p w14:paraId="39671012">
            <w:pPr>
              <w:spacing w:line="400" w:lineRule="exact"/>
              <w:jc w:val="left"/>
              <w:rPr>
                <w:rFonts w:ascii="Times New Roman" w:hAnsi="Times New Roman" w:eastAsia="方正仿宋_GBK"/>
                <w:sz w:val="28"/>
              </w:rPr>
            </w:pPr>
            <w:r>
              <w:rPr>
                <w:rFonts w:hint="eastAsia" w:ascii="Times New Roman" w:hAnsi="Times New Roman" w:eastAsia="方正仿宋_GBK"/>
                <w:sz w:val="28"/>
              </w:rPr>
              <w:t>纱、线、织物加工的烧毛、开幅、烘干等热定型工艺的汽化室、燃气贮罐、储油罐、热媒炉，未与生产加工等人员聚集场所隔开或者单独设置的</w:t>
            </w:r>
          </w:p>
        </w:tc>
        <w:tc>
          <w:tcPr>
            <w:tcW w:w="4431" w:type="dxa"/>
            <w:vAlign w:val="center"/>
          </w:tcPr>
          <w:p w14:paraId="41E049C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《工贸企业重大事故隐患判定标准》第九条第一项</w:t>
            </w:r>
          </w:p>
          <w:p w14:paraId="547BE6F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30591D27">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10331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167A1D62">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65C5E602">
            <w:pPr>
              <w:spacing w:line="400" w:lineRule="exact"/>
              <w:jc w:val="center"/>
              <w:rPr>
                <w:rFonts w:ascii="Times New Roman" w:hAnsi="Times New Roman" w:eastAsia="方正仿宋_GBK"/>
                <w:b/>
                <w:bCs/>
                <w:sz w:val="28"/>
              </w:rPr>
            </w:pPr>
          </w:p>
        </w:tc>
        <w:tc>
          <w:tcPr>
            <w:tcW w:w="4705" w:type="dxa"/>
            <w:vAlign w:val="center"/>
          </w:tcPr>
          <w:p w14:paraId="7415B769">
            <w:pPr>
              <w:spacing w:line="400" w:lineRule="exact"/>
              <w:jc w:val="left"/>
              <w:rPr>
                <w:rFonts w:ascii="Times New Roman" w:hAnsi="Times New Roman" w:eastAsia="方正仿宋_GBK"/>
                <w:sz w:val="28"/>
              </w:rPr>
            </w:pPr>
            <w:r>
              <w:rPr>
                <w:rFonts w:hint="eastAsia" w:ascii="Times New Roman" w:hAnsi="Times New Roman" w:eastAsia="方正仿宋_GBK"/>
                <w:sz w:val="28"/>
              </w:rPr>
              <w:t>保险粉、双氧水、次氯酸钠、亚氯酸钠、雕白粉（吊白块）与禁忌物料混合储存，或者保险粉储存场所未采取防水防潮措施的</w:t>
            </w:r>
          </w:p>
        </w:tc>
        <w:tc>
          <w:tcPr>
            <w:tcW w:w="4431" w:type="dxa"/>
            <w:vAlign w:val="center"/>
          </w:tcPr>
          <w:p w14:paraId="002A2B70">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《工贸企业重大事故隐患判定标准》第九条第二项</w:t>
            </w:r>
          </w:p>
          <w:p w14:paraId="6CD11790">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《中华人民共和国安全生产法》第三十九条第二款</w:t>
            </w:r>
          </w:p>
        </w:tc>
        <w:tc>
          <w:tcPr>
            <w:tcW w:w="4200" w:type="dxa"/>
            <w:vAlign w:val="center"/>
          </w:tcPr>
          <w:p w14:paraId="2C81F22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《中华人民共和国安全生产法》第一百零一条第一项</w:t>
            </w:r>
          </w:p>
        </w:tc>
      </w:tr>
      <w:tr w14:paraId="785C4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33CFEF1D">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4B15067F">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涉爆粉尘</w:t>
            </w:r>
          </w:p>
        </w:tc>
        <w:tc>
          <w:tcPr>
            <w:tcW w:w="4705" w:type="dxa"/>
            <w:vAlign w:val="center"/>
          </w:tcPr>
          <w:p w14:paraId="00A7239C">
            <w:pPr>
              <w:spacing w:line="400" w:lineRule="exact"/>
              <w:jc w:val="left"/>
              <w:rPr>
                <w:rFonts w:ascii="Times New Roman" w:hAnsi="Times New Roman" w:eastAsia="方正仿宋_GBK"/>
                <w:sz w:val="28"/>
              </w:rPr>
            </w:pPr>
            <w:r>
              <w:rPr>
                <w:rFonts w:hint="eastAsia" w:ascii="Times New Roman" w:hAnsi="Times New Roman" w:eastAsia="方正仿宋_GBK"/>
                <w:sz w:val="28"/>
              </w:rPr>
              <w:t>粉尘爆炸危险场所设置在非框架结构的多层建(构)筑物内，或者粉尘爆炸危险场所内设有员工宿舍、会议室、办公室、休息室等人员聚集场所</w:t>
            </w:r>
          </w:p>
        </w:tc>
        <w:tc>
          <w:tcPr>
            <w:tcW w:w="4431" w:type="dxa"/>
            <w:vAlign w:val="center"/>
          </w:tcPr>
          <w:p w14:paraId="270DD99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《工贸企业重大事故隐患判定标准》第十一条第一项</w:t>
            </w:r>
          </w:p>
          <w:p w14:paraId="5962098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p w14:paraId="2113FC1D">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《工贸企业粉尘防爆安全规定》第十四条</w:t>
            </w:r>
          </w:p>
        </w:tc>
        <w:tc>
          <w:tcPr>
            <w:tcW w:w="4200" w:type="dxa"/>
            <w:vAlign w:val="center"/>
          </w:tcPr>
          <w:p w14:paraId="16BB9697">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p w14:paraId="358CDF38">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《工贸企业粉尘防爆安全规定》第二十九条</w:t>
            </w:r>
          </w:p>
        </w:tc>
      </w:tr>
      <w:tr w14:paraId="7E762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066897CF">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7594A235">
            <w:pPr>
              <w:spacing w:line="400" w:lineRule="exact"/>
              <w:jc w:val="center"/>
              <w:rPr>
                <w:rFonts w:ascii="Times New Roman" w:hAnsi="Times New Roman" w:eastAsia="方正仿宋_GBK"/>
                <w:b/>
                <w:bCs/>
                <w:sz w:val="28"/>
              </w:rPr>
            </w:pPr>
          </w:p>
        </w:tc>
        <w:tc>
          <w:tcPr>
            <w:tcW w:w="4705" w:type="dxa"/>
            <w:vAlign w:val="center"/>
          </w:tcPr>
          <w:p w14:paraId="621FCC6E">
            <w:pPr>
              <w:spacing w:line="400" w:lineRule="exact"/>
              <w:jc w:val="left"/>
              <w:rPr>
                <w:rFonts w:ascii="Times New Roman" w:hAnsi="Times New Roman" w:eastAsia="方正仿宋_GBK"/>
                <w:sz w:val="28"/>
              </w:rPr>
            </w:pPr>
            <w:r>
              <w:rPr>
                <w:rFonts w:hint="eastAsia" w:ascii="Times New Roman" w:hAnsi="Times New Roman" w:eastAsia="方正仿宋_GBK"/>
                <w:sz w:val="28"/>
              </w:rPr>
              <w:t>不同类别的可燃性粉尘、可燃性粉尘与可燃气体等易加剧爆炸危险的介质共用一套除尘系统，或者不同建（构）筑物、不同防火分区共用一套除尘系统、除尘系统互联互通</w:t>
            </w:r>
          </w:p>
        </w:tc>
        <w:tc>
          <w:tcPr>
            <w:tcW w:w="4431" w:type="dxa"/>
            <w:vAlign w:val="center"/>
          </w:tcPr>
          <w:p w14:paraId="78F2777E">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《工贸企业重大事故隐患判定标准》第十一条第二项</w:t>
            </w:r>
          </w:p>
          <w:p w14:paraId="08DF0D52">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700EAFA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4959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1679760A">
            <w:pPr>
              <w:spacing w:line="400" w:lineRule="exact"/>
              <w:jc w:val="center"/>
              <w:rPr>
                <w:rFonts w:ascii="Times New Roman" w:hAnsi="Times New Roman" w:eastAsia="方正仿宋_GBK"/>
                <w:sz w:val="28"/>
              </w:rPr>
            </w:pPr>
            <w:r>
              <w:rPr>
                <w:rFonts w:hint="eastAsia" w:ascii="Times New Roman" w:hAnsi="Times New Roman" w:eastAsia="方正仿宋_GBK"/>
                <w:sz w:val="28"/>
              </w:rPr>
              <w:t>3</w:t>
            </w:r>
          </w:p>
        </w:tc>
        <w:tc>
          <w:tcPr>
            <w:tcW w:w="886" w:type="dxa"/>
            <w:vMerge w:val="continue"/>
            <w:vAlign w:val="center"/>
          </w:tcPr>
          <w:p w14:paraId="4CB218E7">
            <w:pPr>
              <w:spacing w:line="400" w:lineRule="exact"/>
              <w:jc w:val="center"/>
              <w:rPr>
                <w:rFonts w:ascii="Times New Roman" w:hAnsi="Times New Roman" w:eastAsia="方正仿宋_GBK"/>
                <w:b/>
                <w:bCs/>
                <w:sz w:val="28"/>
              </w:rPr>
            </w:pPr>
          </w:p>
        </w:tc>
        <w:tc>
          <w:tcPr>
            <w:tcW w:w="4705" w:type="dxa"/>
            <w:vAlign w:val="center"/>
          </w:tcPr>
          <w:p w14:paraId="67722364">
            <w:pPr>
              <w:spacing w:line="400" w:lineRule="exact"/>
              <w:jc w:val="left"/>
              <w:rPr>
                <w:rFonts w:ascii="Times New Roman" w:hAnsi="Times New Roman" w:eastAsia="方正仿宋_GBK"/>
                <w:sz w:val="28"/>
              </w:rPr>
            </w:pPr>
            <w:r>
              <w:rPr>
                <w:rFonts w:hint="eastAsia" w:ascii="Times New Roman" w:hAnsi="Times New Roman" w:eastAsia="方正仿宋_GBK"/>
                <w:sz w:val="28"/>
              </w:rPr>
              <w:t>干式除尘系统未采取泄爆、惰化、抑爆等任一种爆炸防控措施</w:t>
            </w:r>
          </w:p>
        </w:tc>
        <w:tc>
          <w:tcPr>
            <w:tcW w:w="4431" w:type="dxa"/>
            <w:vAlign w:val="center"/>
          </w:tcPr>
          <w:p w14:paraId="20C4AC7D">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《工贸企业重大事故隐患判定标准》第十一条第三项</w:t>
            </w:r>
          </w:p>
          <w:p w14:paraId="341A063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656E08EE">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FA0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0B17840C">
            <w:pPr>
              <w:spacing w:line="400" w:lineRule="exact"/>
              <w:jc w:val="center"/>
              <w:rPr>
                <w:rFonts w:ascii="Times New Roman" w:hAnsi="Times New Roman" w:eastAsia="方正仿宋_GBK"/>
                <w:sz w:val="28"/>
              </w:rPr>
            </w:pPr>
            <w:r>
              <w:rPr>
                <w:rFonts w:hint="eastAsia" w:ascii="Times New Roman" w:hAnsi="Times New Roman" w:eastAsia="方正仿宋_GBK"/>
                <w:sz w:val="28"/>
              </w:rPr>
              <w:t>4</w:t>
            </w:r>
          </w:p>
        </w:tc>
        <w:tc>
          <w:tcPr>
            <w:tcW w:w="886" w:type="dxa"/>
            <w:vMerge w:val="continue"/>
            <w:vAlign w:val="center"/>
          </w:tcPr>
          <w:p w14:paraId="203178B5">
            <w:pPr>
              <w:spacing w:line="400" w:lineRule="exact"/>
              <w:jc w:val="center"/>
              <w:rPr>
                <w:rFonts w:ascii="Times New Roman" w:hAnsi="Times New Roman" w:eastAsia="方正仿宋_GBK"/>
                <w:b/>
                <w:bCs/>
                <w:sz w:val="28"/>
              </w:rPr>
            </w:pPr>
          </w:p>
        </w:tc>
        <w:tc>
          <w:tcPr>
            <w:tcW w:w="4705" w:type="dxa"/>
            <w:vAlign w:val="center"/>
          </w:tcPr>
          <w:p w14:paraId="24F08203">
            <w:pPr>
              <w:spacing w:line="400" w:lineRule="exact"/>
              <w:jc w:val="left"/>
              <w:rPr>
                <w:rFonts w:ascii="Times New Roman" w:hAnsi="Times New Roman" w:eastAsia="方正仿宋_GBK"/>
                <w:sz w:val="28"/>
              </w:rPr>
            </w:pPr>
            <w:r>
              <w:rPr>
                <w:rFonts w:hint="eastAsia" w:ascii="Times New Roman" w:hAnsi="Times New Roman" w:eastAsia="方正仿宋_GBK"/>
                <w:sz w:val="28"/>
              </w:rPr>
              <w:t>铝镁等金属粉尘除尘系统采用正压除尘方式，或者其他可燃性粉尘除尘系统采用正压吹送粉尘时，未采取火花探测消除等防范点燃源措施</w:t>
            </w:r>
          </w:p>
        </w:tc>
        <w:tc>
          <w:tcPr>
            <w:tcW w:w="4431" w:type="dxa"/>
            <w:vAlign w:val="center"/>
          </w:tcPr>
          <w:p w14:paraId="39B860C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《工贸企业重大事故隐患判定标准》第十一条第四项</w:t>
            </w:r>
          </w:p>
          <w:p w14:paraId="71660BF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72E5A96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68F45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75380241">
            <w:pPr>
              <w:spacing w:line="400" w:lineRule="exact"/>
              <w:jc w:val="center"/>
              <w:rPr>
                <w:rFonts w:ascii="Times New Roman" w:hAnsi="Times New Roman" w:eastAsia="方正仿宋_GBK"/>
                <w:sz w:val="28"/>
              </w:rPr>
            </w:pPr>
            <w:r>
              <w:rPr>
                <w:rFonts w:hint="eastAsia" w:ascii="Times New Roman" w:hAnsi="Times New Roman" w:eastAsia="方正仿宋_GBK"/>
                <w:sz w:val="28"/>
              </w:rPr>
              <w:t>5</w:t>
            </w:r>
          </w:p>
        </w:tc>
        <w:tc>
          <w:tcPr>
            <w:tcW w:w="886" w:type="dxa"/>
            <w:vMerge w:val="continue"/>
            <w:vAlign w:val="center"/>
          </w:tcPr>
          <w:p w14:paraId="00BB7FE9">
            <w:pPr>
              <w:spacing w:line="400" w:lineRule="exact"/>
              <w:jc w:val="center"/>
              <w:rPr>
                <w:rFonts w:ascii="Times New Roman" w:hAnsi="Times New Roman" w:eastAsia="方正仿宋_GBK"/>
                <w:b/>
                <w:bCs/>
                <w:sz w:val="28"/>
              </w:rPr>
            </w:pPr>
          </w:p>
        </w:tc>
        <w:tc>
          <w:tcPr>
            <w:tcW w:w="4705" w:type="dxa"/>
            <w:vAlign w:val="center"/>
          </w:tcPr>
          <w:p w14:paraId="3426D0B5">
            <w:pPr>
              <w:spacing w:line="400" w:lineRule="exact"/>
              <w:jc w:val="left"/>
              <w:rPr>
                <w:rFonts w:ascii="Times New Roman" w:hAnsi="Times New Roman" w:eastAsia="方正仿宋_GBK"/>
                <w:sz w:val="28"/>
              </w:rPr>
            </w:pPr>
            <w:r>
              <w:rPr>
                <w:rFonts w:hint="eastAsia" w:ascii="Times New Roman" w:hAnsi="Times New Roman" w:eastAsia="方正仿宋_GBK"/>
                <w:sz w:val="28"/>
              </w:rPr>
              <w:t>除尘系统采用重力沉降室除尘，或者采用干式巷道式构筑物作为除尘风道</w:t>
            </w:r>
          </w:p>
        </w:tc>
        <w:tc>
          <w:tcPr>
            <w:tcW w:w="4431" w:type="dxa"/>
            <w:vAlign w:val="center"/>
          </w:tcPr>
          <w:p w14:paraId="50217909">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《工贸企业重大事故隐患判定标准》第十一条第五项</w:t>
            </w:r>
          </w:p>
          <w:p w14:paraId="2F2D25F9">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72169F90">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4EFDC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19D2B64">
            <w:pPr>
              <w:spacing w:line="400" w:lineRule="exact"/>
              <w:jc w:val="center"/>
              <w:rPr>
                <w:rFonts w:ascii="Times New Roman" w:hAnsi="Times New Roman" w:eastAsia="方正仿宋_GBK"/>
                <w:sz w:val="28"/>
              </w:rPr>
            </w:pPr>
            <w:r>
              <w:rPr>
                <w:rFonts w:hint="eastAsia" w:ascii="Times New Roman" w:hAnsi="Times New Roman" w:eastAsia="方正仿宋_GBK"/>
                <w:sz w:val="28"/>
              </w:rPr>
              <w:t>6</w:t>
            </w:r>
          </w:p>
        </w:tc>
        <w:tc>
          <w:tcPr>
            <w:tcW w:w="886" w:type="dxa"/>
            <w:vMerge w:val="continue"/>
            <w:vAlign w:val="center"/>
          </w:tcPr>
          <w:p w14:paraId="05965F84">
            <w:pPr>
              <w:spacing w:line="400" w:lineRule="exact"/>
              <w:jc w:val="center"/>
              <w:rPr>
                <w:rFonts w:ascii="Times New Roman" w:hAnsi="Times New Roman" w:eastAsia="方正仿宋_GBK"/>
                <w:b/>
                <w:bCs/>
                <w:sz w:val="28"/>
              </w:rPr>
            </w:pPr>
          </w:p>
        </w:tc>
        <w:tc>
          <w:tcPr>
            <w:tcW w:w="4705" w:type="dxa"/>
            <w:vAlign w:val="center"/>
          </w:tcPr>
          <w:p w14:paraId="74DB09AB">
            <w:pPr>
              <w:spacing w:line="400" w:lineRule="exact"/>
              <w:jc w:val="left"/>
              <w:rPr>
                <w:rFonts w:ascii="Times New Roman" w:hAnsi="Times New Roman" w:eastAsia="方正仿宋_GBK"/>
                <w:sz w:val="28"/>
              </w:rPr>
            </w:pPr>
            <w:r>
              <w:rPr>
                <w:rFonts w:hint="eastAsia" w:ascii="Times New Roman" w:hAnsi="Times New Roman" w:eastAsia="方正仿宋_GBK"/>
                <w:sz w:val="28"/>
              </w:rPr>
              <w:t>铝镁等金属粉尘、木质粉尘的干式除尘系统未设置锁气卸灰装置</w:t>
            </w:r>
          </w:p>
        </w:tc>
        <w:tc>
          <w:tcPr>
            <w:tcW w:w="4431" w:type="dxa"/>
            <w:vAlign w:val="center"/>
          </w:tcPr>
          <w:p w14:paraId="120ECBB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《工贸企业重大事故隐患判定标准》第十一条第六项</w:t>
            </w:r>
          </w:p>
          <w:p w14:paraId="5CAAA10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18F01FB9">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27E7A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79B06B8C">
            <w:pPr>
              <w:spacing w:line="400" w:lineRule="exact"/>
              <w:jc w:val="center"/>
              <w:rPr>
                <w:rFonts w:ascii="Times New Roman" w:hAnsi="Times New Roman" w:eastAsia="方正仿宋_GBK"/>
                <w:sz w:val="28"/>
              </w:rPr>
            </w:pPr>
            <w:r>
              <w:rPr>
                <w:rFonts w:hint="eastAsia" w:ascii="Times New Roman" w:hAnsi="Times New Roman" w:eastAsia="方正仿宋_GBK"/>
                <w:sz w:val="28"/>
              </w:rPr>
              <w:t>7</w:t>
            </w:r>
          </w:p>
        </w:tc>
        <w:tc>
          <w:tcPr>
            <w:tcW w:w="886" w:type="dxa"/>
            <w:vMerge w:val="continue"/>
            <w:vAlign w:val="center"/>
          </w:tcPr>
          <w:p w14:paraId="001AD56C">
            <w:pPr>
              <w:spacing w:line="400" w:lineRule="exact"/>
              <w:jc w:val="center"/>
              <w:rPr>
                <w:rFonts w:ascii="Times New Roman" w:hAnsi="Times New Roman" w:eastAsia="方正仿宋_GBK"/>
                <w:b/>
                <w:bCs/>
                <w:sz w:val="28"/>
              </w:rPr>
            </w:pPr>
          </w:p>
        </w:tc>
        <w:tc>
          <w:tcPr>
            <w:tcW w:w="4705" w:type="dxa"/>
            <w:vAlign w:val="center"/>
          </w:tcPr>
          <w:p w14:paraId="207A3194">
            <w:pPr>
              <w:spacing w:line="400" w:lineRule="exact"/>
              <w:jc w:val="left"/>
              <w:rPr>
                <w:rFonts w:ascii="Times New Roman" w:hAnsi="Times New Roman" w:eastAsia="方正仿宋_GBK"/>
                <w:sz w:val="28"/>
              </w:rPr>
            </w:pPr>
            <w:r>
              <w:rPr>
                <w:rFonts w:hint="eastAsia" w:ascii="Times New Roman" w:hAnsi="Times New Roman" w:eastAsia="方正仿宋_GBK"/>
                <w:sz w:val="28"/>
              </w:rPr>
              <w:t>除尘器、收尘仓等划分为20区的粉尘爆炸危险场所电气设备不符合防爆要求</w:t>
            </w:r>
          </w:p>
        </w:tc>
        <w:tc>
          <w:tcPr>
            <w:tcW w:w="4431" w:type="dxa"/>
            <w:vAlign w:val="center"/>
          </w:tcPr>
          <w:p w14:paraId="0ACCCE17">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《工贸企业重大事故隐患判定标准》第十一条第七项</w:t>
            </w:r>
          </w:p>
          <w:p w14:paraId="6E0B099E">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387CD441">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70A6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C90F3CF">
            <w:pPr>
              <w:spacing w:line="400" w:lineRule="exact"/>
              <w:jc w:val="center"/>
              <w:rPr>
                <w:rFonts w:ascii="Times New Roman" w:hAnsi="Times New Roman" w:eastAsia="方正仿宋_GBK"/>
                <w:sz w:val="28"/>
              </w:rPr>
            </w:pPr>
            <w:r>
              <w:rPr>
                <w:rFonts w:hint="eastAsia" w:ascii="Times New Roman" w:hAnsi="Times New Roman" w:eastAsia="方正仿宋_GBK"/>
                <w:sz w:val="28"/>
              </w:rPr>
              <w:t>8</w:t>
            </w:r>
          </w:p>
        </w:tc>
        <w:tc>
          <w:tcPr>
            <w:tcW w:w="886" w:type="dxa"/>
            <w:vMerge w:val="continue"/>
            <w:vAlign w:val="center"/>
          </w:tcPr>
          <w:p w14:paraId="5FE63A44">
            <w:pPr>
              <w:spacing w:line="400" w:lineRule="exact"/>
              <w:jc w:val="center"/>
              <w:rPr>
                <w:rFonts w:ascii="Times New Roman" w:hAnsi="Times New Roman" w:eastAsia="方正仿宋_GBK"/>
                <w:b/>
                <w:bCs/>
                <w:sz w:val="28"/>
              </w:rPr>
            </w:pPr>
          </w:p>
        </w:tc>
        <w:tc>
          <w:tcPr>
            <w:tcW w:w="4705" w:type="dxa"/>
            <w:vAlign w:val="center"/>
          </w:tcPr>
          <w:p w14:paraId="1E563C77">
            <w:pPr>
              <w:spacing w:line="320" w:lineRule="exact"/>
              <w:jc w:val="left"/>
              <w:rPr>
                <w:rFonts w:ascii="Times New Roman" w:hAnsi="Times New Roman" w:eastAsia="方正仿宋_GBK"/>
                <w:sz w:val="28"/>
              </w:rPr>
            </w:pPr>
            <w:r>
              <w:rPr>
                <w:rFonts w:hint="eastAsia" w:ascii="Times New Roman" w:hAnsi="Times New Roman" w:eastAsia="方正仿宋_GBK"/>
                <w:sz w:val="28"/>
              </w:rPr>
              <w:t>粉碎、研磨、造粒等易产生机械点燃源的工艺设备前，未设置铁、石等杂物去除装置；木制品加工企业与砂光机连接的风管未设置火花探测消除装置</w:t>
            </w:r>
          </w:p>
        </w:tc>
        <w:tc>
          <w:tcPr>
            <w:tcW w:w="4431" w:type="dxa"/>
            <w:vAlign w:val="center"/>
          </w:tcPr>
          <w:p w14:paraId="6D5A5B13">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《工贸企业重大事故隐患判定标准》第十一条第八项</w:t>
            </w:r>
          </w:p>
          <w:p w14:paraId="3E64CA6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tc>
        <w:tc>
          <w:tcPr>
            <w:tcW w:w="4200" w:type="dxa"/>
            <w:vAlign w:val="center"/>
          </w:tcPr>
          <w:p w14:paraId="3BB6D8C5">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《中华人民共和国安全生产法》第九十九条第二项</w:t>
            </w:r>
          </w:p>
        </w:tc>
      </w:tr>
      <w:tr w14:paraId="2314E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49F635B9">
            <w:pPr>
              <w:spacing w:line="400" w:lineRule="exact"/>
              <w:jc w:val="center"/>
              <w:rPr>
                <w:rFonts w:ascii="Times New Roman" w:hAnsi="Times New Roman" w:eastAsia="方正仿宋_GBK"/>
                <w:sz w:val="28"/>
              </w:rPr>
            </w:pPr>
            <w:r>
              <w:rPr>
                <w:rFonts w:hint="eastAsia" w:ascii="Times New Roman" w:hAnsi="Times New Roman" w:eastAsia="方正仿宋_GBK"/>
                <w:sz w:val="28"/>
              </w:rPr>
              <w:t>9</w:t>
            </w:r>
          </w:p>
        </w:tc>
        <w:tc>
          <w:tcPr>
            <w:tcW w:w="886" w:type="dxa"/>
            <w:vMerge w:val="continue"/>
            <w:vAlign w:val="center"/>
          </w:tcPr>
          <w:p w14:paraId="0577D3E6">
            <w:pPr>
              <w:spacing w:line="400" w:lineRule="exact"/>
              <w:jc w:val="center"/>
              <w:rPr>
                <w:rFonts w:ascii="Times New Roman" w:hAnsi="Times New Roman" w:eastAsia="方正仿宋_GBK"/>
                <w:b/>
                <w:bCs/>
                <w:sz w:val="28"/>
              </w:rPr>
            </w:pPr>
          </w:p>
        </w:tc>
        <w:tc>
          <w:tcPr>
            <w:tcW w:w="4705" w:type="dxa"/>
            <w:vAlign w:val="center"/>
          </w:tcPr>
          <w:p w14:paraId="6108E24A">
            <w:pPr>
              <w:spacing w:line="400" w:lineRule="exact"/>
              <w:jc w:val="left"/>
              <w:rPr>
                <w:rFonts w:ascii="Times New Roman" w:hAnsi="Times New Roman" w:eastAsia="方正仿宋_GBK"/>
                <w:sz w:val="28"/>
              </w:rPr>
            </w:pPr>
            <w:r>
              <w:rPr>
                <w:rFonts w:hint="eastAsia" w:ascii="Times New Roman" w:hAnsi="Times New Roman" w:eastAsia="方正仿宋_GBK"/>
                <w:sz w:val="28"/>
              </w:rPr>
              <w:t>遇湿自燃金属粉尘收集、堆放、储存场所未采取通风等防止氢气积聚措施，或者干式收集、堆放、储存场所未采取防水、防潮措施</w:t>
            </w:r>
          </w:p>
        </w:tc>
        <w:tc>
          <w:tcPr>
            <w:tcW w:w="4431" w:type="dxa"/>
            <w:vAlign w:val="center"/>
          </w:tcPr>
          <w:p w14:paraId="2CDE1284">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《工贸企业重大事故隐患判定标准》第十一条第九项</w:t>
            </w:r>
          </w:p>
          <w:p w14:paraId="5E791F6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p w14:paraId="67B791C1">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《工贸企业粉尘防爆安全规定》第十八条第二款</w:t>
            </w:r>
          </w:p>
        </w:tc>
        <w:tc>
          <w:tcPr>
            <w:tcW w:w="4200" w:type="dxa"/>
            <w:vAlign w:val="center"/>
          </w:tcPr>
          <w:p w14:paraId="085F8E4E">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p w14:paraId="54E2FD1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《工贸企业粉尘防爆安全规定》第二十九条</w:t>
            </w:r>
          </w:p>
        </w:tc>
      </w:tr>
      <w:tr w14:paraId="6132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74C3745F">
            <w:pPr>
              <w:spacing w:line="400" w:lineRule="exact"/>
              <w:jc w:val="center"/>
              <w:rPr>
                <w:rFonts w:ascii="Times New Roman" w:hAnsi="Times New Roman" w:eastAsia="方正仿宋_GBK"/>
                <w:sz w:val="28"/>
              </w:rPr>
            </w:pPr>
            <w:r>
              <w:rPr>
                <w:rFonts w:hint="eastAsia" w:ascii="Times New Roman" w:hAnsi="Times New Roman" w:eastAsia="方正仿宋_GBK"/>
                <w:sz w:val="28"/>
              </w:rPr>
              <w:t>10</w:t>
            </w:r>
          </w:p>
        </w:tc>
        <w:tc>
          <w:tcPr>
            <w:tcW w:w="886" w:type="dxa"/>
            <w:vMerge w:val="continue"/>
            <w:vAlign w:val="center"/>
          </w:tcPr>
          <w:p w14:paraId="09546597">
            <w:pPr>
              <w:spacing w:line="400" w:lineRule="exact"/>
              <w:jc w:val="center"/>
              <w:rPr>
                <w:rFonts w:ascii="Times New Roman" w:hAnsi="Times New Roman" w:eastAsia="方正仿宋_GBK"/>
                <w:b/>
                <w:bCs/>
                <w:sz w:val="28"/>
              </w:rPr>
            </w:pPr>
          </w:p>
        </w:tc>
        <w:tc>
          <w:tcPr>
            <w:tcW w:w="4705" w:type="dxa"/>
            <w:vAlign w:val="center"/>
          </w:tcPr>
          <w:p w14:paraId="05C9F5C0">
            <w:pPr>
              <w:spacing w:line="400" w:lineRule="exact"/>
              <w:jc w:val="left"/>
              <w:rPr>
                <w:rFonts w:ascii="Times New Roman" w:hAnsi="Times New Roman" w:eastAsia="方正仿宋_GBK"/>
                <w:sz w:val="28"/>
              </w:rPr>
            </w:pPr>
            <w:r>
              <w:rPr>
                <w:rFonts w:hint="eastAsia" w:ascii="Times New Roman" w:hAnsi="Times New Roman" w:eastAsia="方正仿宋_GBK"/>
                <w:sz w:val="28"/>
              </w:rPr>
              <w:t>未落实粉尘清理制度，造成作业现场积尘严重</w:t>
            </w:r>
          </w:p>
        </w:tc>
        <w:tc>
          <w:tcPr>
            <w:tcW w:w="4431" w:type="dxa"/>
            <w:vAlign w:val="center"/>
          </w:tcPr>
          <w:p w14:paraId="2FE57A74">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《工贸企业重大事故隐患判定标准》第十一条第十项</w:t>
            </w:r>
          </w:p>
          <w:p w14:paraId="1197745B">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p w14:paraId="7A579415">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《工贸企业粉尘防爆安全规定》第十八条第一款</w:t>
            </w:r>
          </w:p>
        </w:tc>
        <w:tc>
          <w:tcPr>
            <w:tcW w:w="4200" w:type="dxa"/>
            <w:vAlign w:val="center"/>
          </w:tcPr>
          <w:p w14:paraId="0CD8DF58">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p w14:paraId="76FCF43A">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《工贸企业粉尘防爆安全规定》第二十九条</w:t>
            </w:r>
          </w:p>
        </w:tc>
      </w:tr>
      <w:tr w14:paraId="26DD1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28" w:type="dxa"/>
            <w:noWrap/>
            <w:vAlign w:val="center"/>
          </w:tcPr>
          <w:p w14:paraId="6431C269">
            <w:pPr>
              <w:spacing w:line="400" w:lineRule="exact"/>
              <w:jc w:val="center"/>
              <w:rPr>
                <w:rFonts w:ascii="Times New Roman" w:hAnsi="Times New Roman" w:eastAsia="方正仿宋_GBK"/>
                <w:sz w:val="28"/>
              </w:rPr>
            </w:pPr>
            <w:r>
              <w:rPr>
                <w:rFonts w:hint="eastAsia" w:ascii="Times New Roman" w:hAnsi="Times New Roman" w:eastAsia="方正仿宋_GBK"/>
                <w:sz w:val="28"/>
              </w:rPr>
              <w:t>11</w:t>
            </w:r>
          </w:p>
        </w:tc>
        <w:tc>
          <w:tcPr>
            <w:tcW w:w="886" w:type="dxa"/>
            <w:vMerge w:val="continue"/>
            <w:vAlign w:val="center"/>
          </w:tcPr>
          <w:p w14:paraId="63FC30E0">
            <w:pPr>
              <w:spacing w:line="400" w:lineRule="exact"/>
              <w:jc w:val="center"/>
              <w:rPr>
                <w:rFonts w:ascii="Times New Roman" w:hAnsi="Times New Roman" w:eastAsia="方正仿宋_GBK"/>
                <w:b/>
                <w:bCs/>
                <w:sz w:val="28"/>
              </w:rPr>
            </w:pPr>
          </w:p>
        </w:tc>
        <w:tc>
          <w:tcPr>
            <w:tcW w:w="4705" w:type="dxa"/>
            <w:vAlign w:val="center"/>
          </w:tcPr>
          <w:p w14:paraId="5CEBEF71">
            <w:pPr>
              <w:spacing w:line="400" w:lineRule="exact"/>
              <w:jc w:val="left"/>
              <w:rPr>
                <w:rFonts w:ascii="Times New Roman" w:hAnsi="Times New Roman" w:eastAsia="方正仿宋_GBK"/>
                <w:sz w:val="28"/>
              </w:rPr>
            </w:pPr>
            <w:r>
              <w:rPr>
                <w:rFonts w:hint="eastAsia" w:ascii="Times New Roman" w:hAnsi="Times New Roman" w:eastAsia="方正仿宋_GBK"/>
                <w:sz w:val="28"/>
              </w:rPr>
              <w:t>是否按规定安装使用监测预警信息系统</w:t>
            </w:r>
          </w:p>
        </w:tc>
        <w:tc>
          <w:tcPr>
            <w:tcW w:w="4431" w:type="dxa"/>
            <w:noWrap/>
            <w:vAlign w:val="center"/>
          </w:tcPr>
          <w:p w14:paraId="624DBBB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《工贸企业粉尘防爆安全规定》第十五条第二款</w:t>
            </w:r>
          </w:p>
        </w:tc>
        <w:tc>
          <w:tcPr>
            <w:tcW w:w="4200" w:type="dxa"/>
            <w:noWrap/>
            <w:vAlign w:val="center"/>
          </w:tcPr>
          <w:p w14:paraId="5B27F489">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《工贸企业粉尘防爆安全规定》第二十九条</w:t>
            </w:r>
          </w:p>
        </w:tc>
      </w:tr>
      <w:tr w14:paraId="6B26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0A188D3C">
            <w:pPr>
              <w:spacing w:line="400" w:lineRule="exact"/>
              <w:jc w:val="center"/>
              <w:rPr>
                <w:rFonts w:ascii="Times New Roman" w:hAnsi="Times New Roman" w:eastAsia="方正仿宋_GBK"/>
                <w:sz w:val="28"/>
              </w:rPr>
            </w:pPr>
            <w:r>
              <w:rPr>
                <w:rFonts w:hint="eastAsia" w:ascii="Times New Roman" w:hAnsi="Times New Roman" w:eastAsia="方正仿宋_GBK"/>
                <w:sz w:val="28"/>
              </w:rPr>
              <w:t>12</w:t>
            </w:r>
          </w:p>
        </w:tc>
        <w:tc>
          <w:tcPr>
            <w:tcW w:w="886" w:type="dxa"/>
            <w:vMerge w:val="continue"/>
            <w:vAlign w:val="center"/>
          </w:tcPr>
          <w:p w14:paraId="6AEEDBA9">
            <w:pPr>
              <w:spacing w:line="400" w:lineRule="exact"/>
              <w:jc w:val="center"/>
              <w:rPr>
                <w:rFonts w:ascii="Times New Roman" w:hAnsi="Times New Roman" w:eastAsia="方正仿宋_GBK"/>
                <w:b/>
                <w:bCs/>
                <w:sz w:val="28"/>
              </w:rPr>
            </w:pPr>
          </w:p>
        </w:tc>
        <w:tc>
          <w:tcPr>
            <w:tcW w:w="4705" w:type="dxa"/>
            <w:vAlign w:val="center"/>
          </w:tcPr>
          <w:p w14:paraId="686DCA51">
            <w:pPr>
              <w:spacing w:line="400" w:lineRule="exact"/>
              <w:jc w:val="left"/>
              <w:rPr>
                <w:rFonts w:ascii="Times New Roman" w:hAnsi="Times New Roman" w:eastAsia="方正仿宋_GBK"/>
                <w:sz w:val="28"/>
              </w:rPr>
            </w:pPr>
            <w:r>
              <w:rPr>
                <w:rFonts w:hint="eastAsia" w:ascii="Times New Roman" w:hAnsi="Times New Roman" w:eastAsia="方正仿宋_GBK"/>
                <w:sz w:val="28"/>
              </w:rPr>
              <w:t>粉尘爆炸危险场所设备设施或者除尘系统的检修维修作业未按规定实行专项作业审批</w:t>
            </w:r>
          </w:p>
        </w:tc>
        <w:tc>
          <w:tcPr>
            <w:tcW w:w="4431" w:type="dxa"/>
            <w:noWrap/>
            <w:vAlign w:val="center"/>
          </w:tcPr>
          <w:p w14:paraId="56F7833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《工贸企业粉尘防爆安全规定》第十九条</w:t>
            </w:r>
          </w:p>
        </w:tc>
        <w:tc>
          <w:tcPr>
            <w:tcW w:w="4200" w:type="dxa"/>
            <w:noWrap/>
            <w:vAlign w:val="center"/>
          </w:tcPr>
          <w:p w14:paraId="7072474C">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《工贸企业粉尘防爆安全规定》第二十九条</w:t>
            </w:r>
          </w:p>
        </w:tc>
      </w:tr>
      <w:tr w14:paraId="33FE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2F919955">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7FB42246">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液氨制冷</w:t>
            </w:r>
          </w:p>
        </w:tc>
        <w:tc>
          <w:tcPr>
            <w:tcW w:w="4705" w:type="dxa"/>
            <w:vAlign w:val="center"/>
          </w:tcPr>
          <w:p w14:paraId="3C93D3D0">
            <w:pPr>
              <w:spacing w:line="400" w:lineRule="exact"/>
              <w:jc w:val="left"/>
              <w:rPr>
                <w:rFonts w:ascii="Times New Roman" w:hAnsi="Times New Roman" w:eastAsia="方正仿宋_GBK"/>
                <w:sz w:val="28"/>
              </w:rPr>
            </w:pPr>
            <w:r>
              <w:rPr>
                <w:rFonts w:hint="eastAsia" w:ascii="Times New Roman" w:hAnsi="Times New Roman" w:eastAsia="方正仿宋_GBK"/>
                <w:sz w:val="28"/>
              </w:rPr>
              <w:t>包装、分割、产品整理场所的空调系统采用氨直接蒸发制冷的</w:t>
            </w:r>
          </w:p>
        </w:tc>
        <w:tc>
          <w:tcPr>
            <w:tcW w:w="4431" w:type="dxa"/>
            <w:vAlign w:val="center"/>
          </w:tcPr>
          <w:p w14:paraId="0E319A1F">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《工贸企业重大事故隐患判定标准》第十二条第一项</w:t>
            </w:r>
          </w:p>
          <w:p w14:paraId="1FF25CA6">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2FD9076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76E2D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vAlign w:val="center"/>
          </w:tcPr>
          <w:p w14:paraId="4A5239C1">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4F7E6F30">
            <w:pPr>
              <w:spacing w:line="400" w:lineRule="exact"/>
              <w:jc w:val="center"/>
              <w:rPr>
                <w:rFonts w:ascii="Times New Roman" w:hAnsi="Times New Roman" w:eastAsia="方正仿宋_GBK"/>
                <w:b/>
                <w:bCs/>
                <w:sz w:val="28"/>
              </w:rPr>
            </w:pPr>
          </w:p>
        </w:tc>
        <w:tc>
          <w:tcPr>
            <w:tcW w:w="4705" w:type="dxa"/>
            <w:vAlign w:val="center"/>
          </w:tcPr>
          <w:p w14:paraId="407C689E">
            <w:pPr>
              <w:spacing w:line="400" w:lineRule="exact"/>
              <w:jc w:val="left"/>
              <w:rPr>
                <w:rFonts w:ascii="Times New Roman" w:hAnsi="Times New Roman" w:eastAsia="方正仿宋_GBK"/>
                <w:sz w:val="28"/>
              </w:rPr>
            </w:pPr>
            <w:r>
              <w:rPr>
                <w:rFonts w:hint="eastAsia" w:ascii="Times New Roman" w:hAnsi="Times New Roman" w:eastAsia="方正仿宋_GBK"/>
                <w:sz w:val="28"/>
              </w:rPr>
              <w:t>快速冻结装置未设置在单独的作业间内，或者快速冻结装置作业间内作业人员数量超过9人的</w:t>
            </w:r>
          </w:p>
        </w:tc>
        <w:tc>
          <w:tcPr>
            <w:tcW w:w="4431" w:type="dxa"/>
            <w:vAlign w:val="center"/>
          </w:tcPr>
          <w:p w14:paraId="7FC6499D">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《工贸企业重大事故隐患判定标准》第十二条第二项</w:t>
            </w:r>
          </w:p>
          <w:p w14:paraId="75031287">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11EAC70C">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8378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928" w:type="dxa"/>
            <w:noWrap/>
            <w:vAlign w:val="center"/>
          </w:tcPr>
          <w:p w14:paraId="7666BB95">
            <w:pPr>
              <w:spacing w:line="400" w:lineRule="exact"/>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vAlign w:val="center"/>
          </w:tcPr>
          <w:p w14:paraId="5E373CBC">
            <w:pPr>
              <w:spacing w:line="400" w:lineRule="exact"/>
              <w:jc w:val="center"/>
              <w:rPr>
                <w:rFonts w:ascii="Times New Roman" w:hAnsi="Times New Roman" w:eastAsia="方正仿宋_GBK"/>
                <w:b/>
                <w:bCs/>
                <w:sz w:val="28"/>
              </w:rPr>
            </w:pPr>
            <w:r>
              <w:rPr>
                <w:rFonts w:hint="eastAsia" w:ascii="Times New Roman" w:hAnsi="Times New Roman" w:eastAsia="方正仿宋_GBK"/>
                <w:b/>
                <w:bCs/>
                <w:sz w:val="28"/>
              </w:rPr>
              <w:t>有限空间</w:t>
            </w:r>
          </w:p>
        </w:tc>
        <w:tc>
          <w:tcPr>
            <w:tcW w:w="4705" w:type="dxa"/>
            <w:vAlign w:val="center"/>
          </w:tcPr>
          <w:p w14:paraId="0821F103">
            <w:pPr>
              <w:spacing w:line="400" w:lineRule="exact"/>
              <w:jc w:val="left"/>
              <w:rPr>
                <w:rFonts w:ascii="Times New Roman" w:hAnsi="Times New Roman" w:eastAsia="方正仿宋_GBK"/>
                <w:sz w:val="28"/>
              </w:rPr>
            </w:pPr>
            <w:r>
              <w:rPr>
                <w:rFonts w:hint="eastAsia" w:ascii="Times New Roman" w:hAnsi="Times New Roman" w:eastAsia="方正仿宋_GBK"/>
                <w:sz w:val="28"/>
              </w:rPr>
              <w:t>对存在硫化氢、一氧化碳等中毒风险的有限空间作业的工贸企业未对有限空间进行辨识、建立安全管理台账，并且未设置明显的安全警示标志</w:t>
            </w:r>
          </w:p>
        </w:tc>
        <w:tc>
          <w:tcPr>
            <w:tcW w:w="4431" w:type="dxa"/>
            <w:vAlign w:val="center"/>
          </w:tcPr>
          <w:p w14:paraId="1927A51B">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《工贸企业重大事故隐患判定标准》第十三条第一项</w:t>
            </w:r>
          </w:p>
          <w:p w14:paraId="20F5CC4F">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10ABC1D4">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1B61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928" w:type="dxa"/>
            <w:noWrap/>
            <w:vAlign w:val="center"/>
          </w:tcPr>
          <w:p w14:paraId="765AE0DC">
            <w:pPr>
              <w:spacing w:line="400" w:lineRule="exact"/>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vAlign w:val="center"/>
          </w:tcPr>
          <w:p w14:paraId="17713D4D">
            <w:pPr>
              <w:spacing w:line="400" w:lineRule="exact"/>
              <w:jc w:val="center"/>
              <w:rPr>
                <w:rFonts w:ascii="Times New Roman" w:hAnsi="Times New Roman" w:eastAsia="方正仿宋_GBK"/>
                <w:b/>
                <w:bCs/>
                <w:sz w:val="28"/>
              </w:rPr>
            </w:pPr>
          </w:p>
        </w:tc>
        <w:tc>
          <w:tcPr>
            <w:tcW w:w="4705" w:type="dxa"/>
            <w:vAlign w:val="center"/>
          </w:tcPr>
          <w:p w14:paraId="6E4983AB">
            <w:pPr>
              <w:spacing w:line="400" w:lineRule="exact"/>
              <w:jc w:val="left"/>
              <w:rPr>
                <w:rFonts w:ascii="Times New Roman" w:hAnsi="Times New Roman" w:eastAsia="方正仿宋_GBK"/>
                <w:sz w:val="28"/>
              </w:rPr>
            </w:pPr>
            <w:r>
              <w:rPr>
                <w:rFonts w:hint="eastAsia" w:ascii="Times New Roman" w:hAnsi="Times New Roman" w:eastAsia="方正仿宋_GBK"/>
                <w:sz w:val="28"/>
              </w:rPr>
              <w:t>对存在硫化氢、一氧化碳等中毒风险的有限空间作业的工贸企业未落实有限空间作业审批，或者未执行“先通风、再检测、后作业”要求，或者作业现场未设置监护人员的</w:t>
            </w:r>
          </w:p>
        </w:tc>
        <w:tc>
          <w:tcPr>
            <w:tcW w:w="4431" w:type="dxa"/>
            <w:vAlign w:val="center"/>
          </w:tcPr>
          <w:p w14:paraId="154D2904">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《工贸企业重大事故隐患判定标准》第十三条第二项</w:t>
            </w:r>
          </w:p>
          <w:p w14:paraId="4C2B3586">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tc>
        <w:tc>
          <w:tcPr>
            <w:tcW w:w="4200" w:type="dxa"/>
            <w:vAlign w:val="center"/>
          </w:tcPr>
          <w:p w14:paraId="30B142ED">
            <w:pPr>
              <w:spacing w:line="400" w:lineRule="exact"/>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《中华人民共和国安全生产法》第一百零二条</w:t>
            </w:r>
          </w:p>
        </w:tc>
      </w:tr>
      <w:tr w14:paraId="2962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tcPr>
          <w:p w14:paraId="6228A8EE">
            <w:pPr>
              <w:jc w:val="center"/>
              <w:rPr>
                <w:rFonts w:ascii="Times New Roman" w:hAnsi="Times New Roman" w:eastAsia="方正仿宋_GBK"/>
                <w:sz w:val="28"/>
              </w:rPr>
            </w:pPr>
            <w:r>
              <w:rPr>
                <w:rFonts w:hint="eastAsia" w:ascii="Times New Roman" w:hAnsi="Times New Roman" w:eastAsia="方正仿宋_GBK"/>
                <w:sz w:val="28"/>
              </w:rPr>
              <w:t>1</w:t>
            </w:r>
          </w:p>
        </w:tc>
        <w:tc>
          <w:tcPr>
            <w:tcW w:w="886" w:type="dxa"/>
            <w:vMerge w:val="restart"/>
            <w:noWrap/>
          </w:tcPr>
          <w:p w14:paraId="4CE5A4E0">
            <w:pPr>
              <w:jc w:val="center"/>
              <w:rPr>
                <w:rFonts w:ascii="Times New Roman" w:hAnsi="Times New Roman" w:eastAsia="方正仿宋_GBK"/>
                <w:b/>
                <w:bCs/>
                <w:sz w:val="28"/>
              </w:rPr>
            </w:pPr>
            <w:r>
              <w:rPr>
                <w:rFonts w:hint="eastAsia" w:ascii="Times New Roman" w:hAnsi="Times New Roman" w:eastAsia="方正仿宋_GBK"/>
                <w:b/>
                <w:bCs/>
                <w:sz w:val="28"/>
              </w:rPr>
              <w:t>使用危险化学品</w:t>
            </w:r>
          </w:p>
        </w:tc>
        <w:tc>
          <w:tcPr>
            <w:tcW w:w="4705" w:type="dxa"/>
          </w:tcPr>
          <w:p w14:paraId="20F30D3A">
            <w:pPr>
              <w:jc w:val="left"/>
              <w:rPr>
                <w:rFonts w:ascii="Times New Roman" w:hAnsi="Times New Roman" w:eastAsia="方正仿宋_GBK"/>
                <w:sz w:val="28"/>
              </w:rPr>
            </w:pPr>
            <w:r>
              <w:rPr>
                <w:rFonts w:hint="eastAsia" w:ascii="Times New Roman" w:hAnsi="Times New Roman" w:eastAsia="方正仿宋_GBK"/>
                <w:sz w:val="28"/>
              </w:rPr>
              <w:t>未按国家标准分区分类储存危险化学品，超量、超品种储存危险化学品，相互禁配物质混放混存</w:t>
            </w:r>
          </w:p>
        </w:tc>
        <w:tc>
          <w:tcPr>
            <w:tcW w:w="4431" w:type="dxa"/>
          </w:tcPr>
          <w:p w14:paraId="274F3A78">
            <w:pPr>
              <w:jc w:val="left"/>
              <w:rPr>
                <w:rFonts w:ascii="Times New Roman" w:hAnsi="Times New Roman" w:eastAsia="方正仿宋_GBK"/>
                <w:sz w:val="28"/>
              </w:rPr>
            </w:pPr>
            <w:r>
              <w:rPr>
                <w:rFonts w:hint="eastAsia" w:ascii="Times New Roman" w:hAnsi="Times New Roman" w:eastAsia="方正仿宋_GBK"/>
                <w:sz w:val="28"/>
              </w:rPr>
              <w:t>《危险化学品安全管理条例》第二十四条第二款</w:t>
            </w:r>
          </w:p>
        </w:tc>
        <w:tc>
          <w:tcPr>
            <w:tcW w:w="4200" w:type="dxa"/>
          </w:tcPr>
          <w:p w14:paraId="2582E39D">
            <w:pPr>
              <w:jc w:val="left"/>
              <w:rPr>
                <w:rFonts w:ascii="Times New Roman" w:hAnsi="Times New Roman" w:eastAsia="方正仿宋_GBK"/>
                <w:sz w:val="28"/>
              </w:rPr>
            </w:pPr>
            <w:r>
              <w:rPr>
                <w:rFonts w:hint="eastAsia" w:ascii="Times New Roman" w:hAnsi="Times New Roman" w:eastAsia="方正仿宋_GBK"/>
                <w:sz w:val="28"/>
              </w:rPr>
              <w:t>《危险化学品安全管理条例》第八十条第五项</w:t>
            </w:r>
          </w:p>
        </w:tc>
      </w:tr>
      <w:tr w14:paraId="5D78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28" w:type="dxa"/>
            <w:noWrap/>
          </w:tcPr>
          <w:p w14:paraId="4D431D9A">
            <w:pPr>
              <w:jc w:val="center"/>
              <w:rPr>
                <w:rFonts w:ascii="Times New Roman" w:hAnsi="Times New Roman" w:eastAsia="方正仿宋_GBK"/>
                <w:sz w:val="28"/>
              </w:rPr>
            </w:pPr>
            <w:r>
              <w:rPr>
                <w:rFonts w:hint="eastAsia" w:ascii="Times New Roman" w:hAnsi="Times New Roman" w:eastAsia="方正仿宋_GBK"/>
                <w:sz w:val="28"/>
              </w:rPr>
              <w:t>2</w:t>
            </w:r>
          </w:p>
        </w:tc>
        <w:tc>
          <w:tcPr>
            <w:tcW w:w="886" w:type="dxa"/>
            <w:vMerge w:val="continue"/>
          </w:tcPr>
          <w:p w14:paraId="22D37E6E">
            <w:pPr>
              <w:jc w:val="center"/>
              <w:rPr>
                <w:rFonts w:ascii="Times New Roman" w:hAnsi="Times New Roman" w:eastAsia="方正仿宋_GBK"/>
                <w:b/>
                <w:bCs/>
                <w:sz w:val="28"/>
              </w:rPr>
            </w:pPr>
          </w:p>
        </w:tc>
        <w:tc>
          <w:tcPr>
            <w:tcW w:w="4705" w:type="dxa"/>
          </w:tcPr>
          <w:p w14:paraId="26A60181">
            <w:pPr>
              <w:jc w:val="left"/>
              <w:rPr>
                <w:rFonts w:ascii="Times New Roman" w:hAnsi="Times New Roman" w:eastAsia="方正仿宋_GBK"/>
                <w:sz w:val="28"/>
              </w:rPr>
            </w:pPr>
            <w:r>
              <w:rPr>
                <w:rFonts w:hint="eastAsia" w:ascii="Times New Roman" w:hAnsi="Times New Roman" w:eastAsia="方正仿宋_GBK"/>
                <w:sz w:val="28"/>
              </w:rPr>
              <w:t>储存、使用危险物品或者处置废弃危险物品的，未采取可靠的安全措施</w:t>
            </w:r>
          </w:p>
        </w:tc>
        <w:tc>
          <w:tcPr>
            <w:tcW w:w="4431" w:type="dxa"/>
          </w:tcPr>
          <w:p w14:paraId="4994668A">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《中华人民共和国安全生产法》第三十九条第二款</w:t>
            </w:r>
          </w:p>
        </w:tc>
        <w:tc>
          <w:tcPr>
            <w:tcW w:w="4200" w:type="dxa"/>
          </w:tcPr>
          <w:p w14:paraId="5D2E8A35">
            <w:pPr>
              <w:jc w:val="left"/>
              <w:rPr>
                <w:rFonts w:ascii="Times New Roman" w:hAnsi="Times New Roman" w:eastAsia="方正仿宋_GBK"/>
                <w:sz w:val="28"/>
              </w:rPr>
            </w:pPr>
            <w:r>
              <w:rPr>
                <w:rFonts w:hint="eastAsia" w:ascii="Times New Roman" w:hAnsi="Times New Roman" w:eastAsia="方正仿宋_GBK"/>
                <w:sz w:val="28"/>
              </w:rPr>
              <w:t>《中华人民共和国安全生产法》第一百零一条第一项</w:t>
            </w:r>
          </w:p>
        </w:tc>
      </w:tr>
    </w:tbl>
    <w:p w14:paraId="0C4049E4">
      <w:pPr>
        <w:spacing w:line="400" w:lineRule="exact"/>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EE9EA">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CB269A4">
                          <w:pPr>
                            <w:pStyle w:val="11"/>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ZXGZeABAAC7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zgqW5or/ZI42Zp0+tx37TRHSnmf+0&#10;f2lp/j3nrIc3t74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GWVxmXgAQAAuwMAAA4AAAAA&#10;AAAAAQAgAAAAHgEAAGRycy9lMm9Eb2MueG1sUEsFBgAAAAAGAAYAWQEAAHAFAAAAAA==&#10;">
              <v:fill on="f" focussize="0,0"/>
              <v:stroke on="f"/>
              <v:imagedata o:title=""/>
              <o:lock v:ext="edit" aspectratio="f"/>
              <v:textbox inset="0mm,0mm,0mm,0mm" style="mso-fit-shape-to-text:t;">
                <w:txbxContent>
                  <w:p w14:paraId="1CB269A4">
                    <w:pPr>
                      <w:pStyle w:val="11"/>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iY2MzZTMwMTM1MmE5ZjM3NzE1MTEyOTMwMzM2YWMifQ=="/>
  </w:docVars>
  <w:rsids>
    <w:rsidRoot w:val="00F40B6E"/>
    <w:rsid w:val="000560CF"/>
    <w:rsid w:val="00114522"/>
    <w:rsid w:val="00131847"/>
    <w:rsid w:val="001D4C46"/>
    <w:rsid w:val="001E2C4C"/>
    <w:rsid w:val="002316D2"/>
    <w:rsid w:val="002A043B"/>
    <w:rsid w:val="00303D9A"/>
    <w:rsid w:val="003D084E"/>
    <w:rsid w:val="003D69A9"/>
    <w:rsid w:val="0044056B"/>
    <w:rsid w:val="00461257"/>
    <w:rsid w:val="004D5A65"/>
    <w:rsid w:val="004E7903"/>
    <w:rsid w:val="004F25D6"/>
    <w:rsid w:val="00525A1D"/>
    <w:rsid w:val="00590C08"/>
    <w:rsid w:val="006F7A47"/>
    <w:rsid w:val="00714ACB"/>
    <w:rsid w:val="00714D68"/>
    <w:rsid w:val="0082196A"/>
    <w:rsid w:val="00912E2B"/>
    <w:rsid w:val="00952D64"/>
    <w:rsid w:val="009829F5"/>
    <w:rsid w:val="009F68FA"/>
    <w:rsid w:val="00AD3A9E"/>
    <w:rsid w:val="00B75EDC"/>
    <w:rsid w:val="00B84E93"/>
    <w:rsid w:val="00B9712F"/>
    <w:rsid w:val="00C00C95"/>
    <w:rsid w:val="00C03499"/>
    <w:rsid w:val="00C153DE"/>
    <w:rsid w:val="00D65823"/>
    <w:rsid w:val="00EF2F6E"/>
    <w:rsid w:val="00F158A7"/>
    <w:rsid w:val="00F40B6E"/>
    <w:rsid w:val="00F96693"/>
    <w:rsid w:val="01DF4767"/>
    <w:rsid w:val="176D15CD"/>
    <w:rsid w:val="211A20DA"/>
    <w:rsid w:val="38CC7AF3"/>
    <w:rsid w:val="429359D2"/>
    <w:rsid w:val="4649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unhideWhenUsed/>
    <w:qFormat/>
    <w:uiPriority w:val="99"/>
    <w:pPr>
      <w:tabs>
        <w:tab w:val="center" w:pos="4153"/>
        <w:tab w:val="right" w:pos="8306"/>
      </w:tabs>
      <w:snapToGrid w:val="0"/>
      <w:jc w:val="left"/>
    </w:pPr>
    <w:rPr>
      <w:sz w:val="18"/>
    </w:rPr>
  </w:style>
  <w:style w:type="paragraph" w:styleId="12">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8">
    <w:name w:val="标题 1 Char"/>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19">
    <w:name w:val="标题 2 Char"/>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Char"/>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Char"/>
    <w:basedOn w:val="17"/>
    <w:link w:val="5"/>
    <w:semiHidden/>
    <w:qFormat/>
    <w:uiPriority w:val="9"/>
    <w:rPr>
      <w:rFonts w:cstheme="majorBidi"/>
      <w:color w:val="104862" w:themeColor="accent1" w:themeShade="BF"/>
      <w:sz w:val="28"/>
      <w:szCs w:val="28"/>
    </w:rPr>
  </w:style>
  <w:style w:type="character" w:customStyle="1" w:styleId="22">
    <w:name w:val="标题 5 Char"/>
    <w:basedOn w:val="17"/>
    <w:link w:val="6"/>
    <w:semiHidden/>
    <w:qFormat/>
    <w:uiPriority w:val="9"/>
    <w:rPr>
      <w:rFonts w:cstheme="majorBidi"/>
      <w:color w:val="104862" w:themeColor="accent1" w:themeShade="BF"/>
      <w:sz w:val="24"/>
      <w:szCs w:val="24"/>
    </w:rPr>
  </w:style>
  <w:style w:type="character" w:customStyle="1" w:styleId="23">
    <w:name w:val="标题 6 Char"/>
    <w:basedOn w:val="17"/>
    <w:link w:val="7"/>
    <w:semiHidden/>
    <w:qFormat/>
    <w:uiPriority w:val="9"/>
    <w:rPr>
      <w:rFonts w:cstheme="majorBidi"/>
      <w:b/>
      <w:bCs/>
      <w:color w:val="104862" w:themeColor="accent1" w:themeShade="BF"/>
    </w:rPr>
  </w:style>
  <w:style w:type="character" w:customStyle="1" w:styleId="24">
    <w:name w:val="标题 7 Char"/>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Char"/>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Char"/>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Char"/>
    <w:basedOn w:val="17"/>
    <w:link w:val="14"/>
    <w:qFormat/>
    <w:uiPriority w:val="10"/>
    <w:rPr>
      <w:rFonts w:asciiTheme="majorHAnsi" w:hAnsiTheme="majorHAnsi" w:eastAsiaTheme="majorEastAsia" w:cstheme="majorBidi"/>
      <w:spacing w:val="-10"/>
      <w:kern w:val="28"/>
      <w:sz w:val="56"/>
      <w:szCs w:val="56"/>
    </w:rPr>
  </w:style>
  <w:style w:type="character" w:customStyle="1" w:styleId="28">
    <w:name w:val="副标题 Char"/>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Char"/>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Char"/>
    <w:basedOn w:val="17"/>
    <w:link w:val="33"/>
    <w:qFormat/>
    <w:uiPriority w:val="30"/>
    <w:rPr>
      <w:i/>
      <w:iCs/>
      <w:color w:val="104862" w:themeColor="accent1" w:themeShade="BF"/>
    </w:rPr>
  </w:style>
  <w:style w:type="character" w:customStyle="1" w:styleId="35">
    <w:name w:val="明显参考1"/>
    <w:basedOn w:val="17"/>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029493-9FDF-4987-9893-4F1E2ECC80B7}">
  <ds:schemaRefs/>
</ds:datastoreItem>
</file>

<file path=docProps/app.xml><?xml version="1.0" encoding="utf-8"?>
<Properties xmlns="http://schemas.openxmlformats.org/officeDocument/2006/extended-properties" xmlns:vt="http://schemas.openxmlformats.org/officeDocument/2006/docPropsVTypes">
  <Template>Normal</Template>
  <Pages>18</Pages>
  <Words>8554</Words>
  <Characters>8581</Characters>
  <Lines>66</Lines>
  <Paragraphs>18</Paragraphs>
  <TotalTime>84</TotalTime>
  <ScaleCrop>false</ScaleCrop>
  <LinksUpToDate>false</LinksUpToDate>
  <CharactersWithSpaces>8581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2024-07-09T08:00:00Z</dcterms:created>
  <dc:creator>行 张</dc:creator>
  <cp:lastModifiedBy>™花花、世界℡</cp:lastModifiedBy>
  <dcterms:modified xsi:type="dcterms:W3CDTF">2024-10-21T03:03:58Z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6F7C878965854E71975E73842DA59B87_13</vt:lpwstr>
  </property>
</Properties>
</file>