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B89D258">
      <w:pPr>
        <w:keepNext w:val="0"/>
        <w:keepLines w:val="0"/>
        <w:pageBreakBefore w:val="0"/>
        <w:spacing w:line="360" w:lineRule="auto"/>
        <w:jc w:val="center"/>
        <w:rPr>
          <w:rFonts w:hint="eastAsia" w:ascii="宋体" w:hAnsi="宋体" w:eastAsia="宋体" w:cs="宋体"/>
          <w:b/>
          <w:bCs/>
          <w:sz w:val="24"/>
          <w:szCs w:val="24"/>
          <w:highlight w:val="none"/>
          <w:lang w:val="en-US" w:eastAsia="zh-CN"/>
        </w:rPr>
      </w:pPr>
      <w:bookmarkStart w:id="0" w:name="_GoBack"/>
      <w:bookmarkEnd w:id="0"/>
      <w:r>
        <w:rPr>
          <w:rFonts w:hint="eastAsia" w:ascii="宋体" w:hAnsi="宋体" w:cs="宋体"/>
          <w:b/>
          <w:bCs/>
          <w:sz w:val="24"/>
          <w:szCs w:val="24"/>
          <w:highlight w:val="none"/>
          <w:lang w:val="en-US" w:eastAsia="zh-CN"/>
        </w:rPr>
        <w:t>采购需求</w:t>
      </w:r>
    </w:p>
    <w:p w14:paraId="606C72FA">
      <w:pPr>
        <w:keepNext w:val="0"/>
        <w:keepLines w:val="0"/>
        <w:pageBreakBefore w:val="0"/>
        <w:spacing w:line="360" w:lineRule="auto"/>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一、采购标的需实现的功能或者目标，以及为落实政府采购政策需满足的要求：</w:t>
      </w:r>
    </w:p>
    <w:p w14:paraId="6C7EE4EC">
      <w:pPr>
        <w:keepNext w:val="0"/>
        <w:keepLines w:val="0"/>
        <w:pageBreakBefore w:val="0"/>
        <w:spacing w:line="360" w:lineRule="auto"/>
        <w:ind w:firstLine="480"/>
        <w:rPr>
          <w:rFonts w:ascii="宋体" w:hAnsi="Calibri" w:eastAsia="宋体"/>
          <w:sz w:val="24"/>
          <w:szCs w:val="24"/>
          <w:highlight w:val="none"/>
        </w:rPr>
      </w:pPr>
      <w:r>
        <w:rPr>
          <w:rFonts w:hint="eastAsia" w:ascii="宋体" w:hAnsi="宋体" w:eastAsia="宋体" w:cs="宋体"/>
          <w:sz w:val="24"/>
          <w:szCs w:val="24"/>
          <w:highlight w:val="none"/>
        </w:rPr>
        <w:t>（</w:t>
      </w:r>
      <w:r>
        <w:rPr>
          <w:rFonts w:ascii="宋体" w:hAnsi="宋体" w:eastAsia="宋体" w:cs="宋体"/>
          <w:sz w:val="24"/>
          <w:szCs w:val="24"/>
          <w:highlight w:val="none"/>
        </w:rPr>
        <w:t>1</w:t>
      </w:r>
      <w:r>
        <w:rPr>
          <w:rFonts w:hint="eastAsia" w:ascii="宋体" w:hAnsi="宋体" w:eastAsia="宋体" w:cs="宋体"/>
          <w:sz w:val="24"/>
          <w:szCs w:val="24"/>
          <w:highlight w:val="none"/>
        </w:rPr>
        <w:t>）采购标的需实现的功能或者目标</w:t>
      </w:r>
      <w:r>
        <w:rPr>
          <w:rFonts w:hint="eastAsia" w:hAnsi="宋体" w:cs="宋体"/>
          <w:sz w:val="24"/>
          <w:szCs w:val="24"/>
          <w:highlight w:val="none"/>
          <w:lang w:eastAsia="zh-CN"/>
        </w:rPr>
        <w:t>鸿山街道202</w:t>
      </w:r>
      <w:r>
        <w:rPr>
          <w:rFonts w:hint="eastAsia" w:hAnsi="宋体" w:cs="宋体"/>
          <w:sz w:val="24"/>
          <w:szCs w:val="24"/>
          <w:highlight w:val="none"/>
          <w:lang w:val="en-US" w:eastAsia="zh-CN"/>
        </w:rPr>
        <w:t>5</w:t>
      </w:r>
      <w:r>
        <w:rPr>
          <w:rFonts w:hint="eastAsia" w:hAnsi="宋体" w:cs="宋体"/>
          <w:sz w:val="24"/>
          <w:szCs w:val="24"/>
          <w:highlight w:val="none"/>
          <w:lang w:eastAsia="zh-CN"/>
        </w:rPr>
        <w:t>年拆违项目</w:t>
      </w:r>
      <w:r>
        <w:rPr>
          <w:rFonts w:hint="eastAsia" w:ascii="宋体" w:hAnsi="宋体" w:eastAsia="宋体" w:cs="宋体"/>
          <w:sz w:val="24"/>
          <w:szCs w:val="24"/>
          <w:highlight w:val="none"/>
        </w:rPr>
        <w:t>，主要内容包括对鸿山街道辖区内的所有违建进行依法保护性拆除工作</w:t>
      </w:r>
      <w:r>
        <w:rPr>
          <w:rFonts w:hint="eastAsia" w:ascii="宋体" w:hAnsi="宋体" w:eastAsia="宋体" w:cs="宋体"/>
          <w:sz w:val="24"/>
          <w:szCs w:val="24"/>
          <w:highlight w:val="none"/>
          <w:lang w:eastAsia="zh-CN"/>
        </w:rPr>
        <w:t>，其中包括拆除违法建筑物、构筑物、违规广告、清理违章搭建的设施等</w:t>
      </w:r>
      <w:r>
        <w:rPr>
          <w:rFonts w:hint="eastAsia" w:ascii="宋体" w:hAnsi="宋体" w:eastAsia="宋体" w:cs="宋体"/>
          <w:sz w:val="24"/>
          <w:szCs w:val="24"/>
          <w:highlight w:val="none"/>
        </w:rPr>
        <w:t>。</w:t>
      </w:r>
    </w:p>
    <w:p w14:paraId="31108CF1">
      <w:pPr>
        <w:keepNext w:val="0"/>
        <w:keepLines w:val="0"/>
        <w:pageBreakBefore w:val="0"/>
        <w:spacing w:line="360" w:lineRule="auto"/>
        <w:ind w:firstLine="48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rPr>
        <w:t>（</w:t>
      </w:r>
      <w:r>
        <w:rPr>
          <w:rFonts w:ascii="宋体" w:hAnsi="宋体" w:eastAsia="宋体" w:cs="宋体"/>
          <w:sz w:val="24"/>
          <w:szCs w:val="24"/>
          <w:highlight w:val="none"/>
        </w:rPr>
        <w:t>2</w:t>
      </w:r>
      <w:r>
        <w:rPr>
          <w:rFonts w:hint="eastAsia" w:ascii="宋体" w:hAnsi="宋体" w:eastAsia="宋体" w:cs="宋体"/>
          <w:sz w:val="24"/>
          <w:szCs w:val="24"/>
          <w:highlight w:val="none"/>
        </w:rPr>
        <w:t>）本项目为专门面向中小企业的采购项目，供应商应为中小微企业、监狱企业、残疾人福利性单位</w:t>
      </w:r>
      <w:r>
        <w:rPr>
          <w:rFonts w:hint="eastAsia" w:ascii="宋体" w:hAnsi="宋体" w:eastAsia="宋体" w:cs="宋体"/>
          <w:sz w:val="24"/>
          <w:szCs w:val="24"/>
          <w:highlight w:val="none"/>
          <w:lang w:eastAsia="zh-CN"/>
        </w:rPr>
        <w:t>。</w:t>
      </w:r>
    </w:p>
    <w:p w14:paraId="6B820AC4">
      <w:pPr>
        <w:keepNext w:val="0"/>
        <w:keepLines w:val="0"/>
        <w:pageBreakBefore w:val="0"/>
        <w:spacing w:line="360" w:lineRule="auto"/>
        <w:rPr>
          <w:rFonts w:ascii="宋体" w:hAnsi="Calibri" w:eastAsia="宋体"/>
          <w:sz w:val="24"/>
          <w:szCs w:val="24"/>
          <w:highlight w:val="none"/>
        </w:rPr>
      </w:pPr>
      <w:r>
        <w:rPr>
          <w:rFonts w:hint="eastAsia" w:ascii="宋体" w:hAnsi="宋体" w:eastAsia="宋体" w:cs="宋体"/>
          <w:b/>
          <w:bCs/>
          <w:sz w:val="24"/>
          <w:szCs w:val="24"/>
          <w:highlight w:val="none"/>
        </w:rPr>
        <w:t>二、本项目需执行的国家相关标准、行业标准、地方标准或者其他标准、规范：</w:t>
      </w:r>
    </w:p>
    <w:p w14:paraId="462286E4">
      <w:pPr>
        <w:keepNext w:val="0"/>
        <w:keepLines w:val="0"/>
        <w:pageBreakBefore w:val="0"/>
        <w:spacing w:line="360" w:lineRule="auto"/>
        <w:ind w:firstLine="480"/>
        <w:rPr>
          <w:rFonts w:ascii="宋体" w:hAnsi="Calibri" w:eastAsia="宋体"/>
          <w:sz w:val="24"/>
          <w:szCs w:val="24"/>
          <w:highlight w:val="none"/>
        </w:rPr>
      </w:pPr>
      <w:r>
        <w:rPr>
          <w:rFonts w:hint="eastAsia" w:ascii="宋体" w:hAnsi="宋体" w:eastAsia="宋体" w:cs="宋体"/>
          <w:sz w:val="24"/>
          <w:szCs w:val="24"/>
          <w:highlight w:val="none"/>
        </w:rPr>
        <w:t>《中华人民共和国政府采购法》等其他法律法规以及江苏省和无锡市行业主管部门颁布的相关文件规定，如</w:t>
      </w:r>
      <w:r>
        <w:rPr>
          <w:rFonts w:hint="eastAsia" w:ascii="宋体" w:hAnsi="宋体" w:cs="宋体"/>
          <w:sz w:val="24"/>
          <w:szCs w:val="24"/>
          <w:highlight w:val="none"/>
          <w:lang w:eastAsia="zh-CN"/>
        </w:rPr>
        <w:t>地方性法规</w:t>
      </w:r>
      <w:r>
        <w:rPr>
          <w:rFonts w:hint="eastAsia" w:ascii="宋体" w:hAnsi="宋体" w:eastAsia="宋体" w:cs="宋体"/>
          <w:sz w:val="24"/>
          <w:szCs w:val="24"/>
          <w:highlight w:val="none"/>
        </w:rPr>
        <w:t>与国家法规相抵触，按国家法规执行。</w:t>
      </w:r>
    </w:p>
    <w:p w14:paraId="50887DBD">
      <w:pPr>
        <w:keepNext w:val="0"/>
        <w:keepLines w:val="0"/>
        <w:pageBreakBefore w:val="0"/>
        <w:spacing w:line="360" w:lineRule="auto"/>
        <w:rPr>
          <w:rFonts w:hint="eastAsia" w:ascii="宋体" w:hAnsi="宋体" w:eastAsia="宋体" w:cs="宋体"/>
          <w:b/>
          <w:bCs/>
          <w:sz w:val="24"/>
          <w:szCs w:val="24"/>
          <w:highlight w:val="none"/>
          <w:u w:val="none"/>
        </w:rPr>
      </w:pPr>
      <w:r>
        <w:rPr>
          <w:rFonts w:hint="eastAsia" w:ascii="宋体" w:hAnsi="宋体" w:eastAsia="宋体" w:cs="宋体"/>
          <w:b/>
          <w:bCs/>
          <w:sz w:val="24"/>
          <w:szCs w:val="24"/>
          <w:highlight w:val="none"/>
          <w:u w:val="none"/>
        </w:rPr>
        <w:t>三、项目技术要求：</w:t>
      </w:r>
    </w:p>
    <w:p w14:paraId="67795B27">
      <w:pPr>
        <w:keepNext w:val="0"/>
        <w:keepLines w:val="0"/>
        <w:pageBreakBefore w:val="0"/>
        <w:spacing w:line="360" w:lineRule="auto"/>
        <w:rPr>
          <w:rFonts w:hint="eastAsia" w:ascii="宋体" w:hAnsi="宋体" w:eastAsia="宋体"/>
          <w:b/>
          <w:bCs/>
          <w:sz w:val="24"/>
          <w:highlight w:val="none"/>
        </w:rPr>
      </w:pPr>
      <w:r>
        <w:rPr>
          <w:rFonts w:hint="eastAsia" w:ascii="宋体" w:hAnsi="宋体" w:eastAsia="宋体"/>
          <w:b/>
          <w:bCs/>
          <w:sz w:val="24"/>
          <w:highlight w:val="none"/>
        </w:rPr>
        <w:t>（一）服务要求：</w:t>
      </w:r>
    </w:p>
    <w:p w14:paraId="18E601ED">
      <w:pPr>
        <w:keepNext w:val="0"/>
        <w:keepLines w:val="0"/>
        <w:pageBreakBefore w:val="0"/>
        <w:spacing w:line="360" w:lineRule="auto"/>
        <w:ind w:firstLine="480"/>
        <w:rPr>
          <w:rFonts w:hint="eastAsia" w:ascii="宋体" w:hAnsi="宋体" w:eastAsia="宋体"/>
          <w:sz w:val="24"/>
          <w:highlight w:val="none"/>
        </w:rPr>
      </w:pPr>
      <w:r>
        <w:rPr>
          <w:rFonts w:hint="eastAsia" w:ascii="宋体" w:hAnsi="宋体" w:eastAsia="宋体"/>
          <w:sz w:val="24"/>
          <w:highlight w:val="none"/>
        </w:rPr>
        <w:t>1、施工单位应指定专人负责与采购人联系协调。</w:t>
      </w:r>
    </w:p>
    <w:p w14:paraId="66A52131">
      <w:pPr>
        <w:keepNext w:val="0"/>
        <w:keepLines w:val="0"/>
        <w:pageBreakBefore w:val="0"/>
        <w:spacing w:line="360" w:lineRule="auto"/>
        <w:ind w:firstLine="480"/>
        <w:rPr>
          <w:rFonts w:hint="eastAsia" w:ascii="宋体" w:hAnsi="宋体" w:eastAsia="宋体"/>
          <w:sz w:val="24"/>
          <w:highlight w:val="none"/>
        </w:rPr>
      </w:pPr>
      <w:r>
        <w:rPr>
          <w:rFonts w:hint="eastAsia" w:ascii="宋体" w:hAnsi="宋体" w:eastAsia="宋体"/>
          <w:sz w:val="24"/>
          <w:highlight w:val="none"/>
        </w:rPr>
        <w:t>2、施工单位应有专门的队伍和设备（包括车辆），针对单项工程需配备1名项目负责人负责施工管理和1名安全技术管理。</w:t>
      </w:r>
    </w:p>
    <w:p w14:paraId="3AD8D39D">
      <w:pPr>
        <w:keepNext w:val="0"/>
        <w:keepLines w:val="0"/>
        <w:pageBreakBefore w:val="0"/>
        <w:spacing w:line="360" w:lineRule="auto"/>
        <w:ind w:firstLine="480"/>
        <w:rPr>
          <w:rFonts w:hint="eastAsia" w:ascii="宋体" w:hAnsi="宋体" w:eastAsia="宋体"/>
          <w:sz w:val="24"/>
          <w:highlight w:val="none"/>
        </w:rPr>
      </w:pPr>
      <w:r>
        <w:rPr>
          <w:rFonts w:hint="eastAsia" w:ascii="宋体" w:hAnsi="宋体" w:eastAsia="宋体"/>
          <w:sz w:val="24"/>
          <w:highlight w:val="none"/>
        </w:rPr>
        <w:t>3、施工单位要有较强责任意识，服务意识。能根据采购人的要求全面地做好工作，按时保质保量完成任务。</w:t>
      </w:r>
    </w:p>
    <w:p w14:paraId="500DD37E">
      <w:pPr>
        <w:keepNext w:val="0"/>
        <w:keepLines w:val="0"/>
        <w:pageBreakBefore w:val="0"/>
        <w:spacing w:line="360" w:lineRule="auto"/>
        <w:rPr>
          <w:rFonts w:hint="eastAsia" w:ascii="宋体" w:hAnsi="宋体" w:eastAsia="宋体"/>
          <w:b/>
          <w:bCs/>
          <w:sz w:val="24"/>
          <w:highlight w:val="none"/>
        </w:rPr>
      </w:pPr>
      <w:r>
        <w:rPr>
          <w:rFonts w:hint="eastAsia" w:ascii="宋体" w:hAnsi="宋体" w:eastAsia="宋体"/>
          <w:b/>
          <w:bCs/>
          <w:sz w:val="24"/>
          <w:highlight w:val="none"/>
        </w:rPr>
        <w:t>（二）施工管理要求：</w:t>
      </w:r>
    </w:p>
    <w:p w14:paraId="010BBEA3">
      <w:pPr>
        <w:keepNext w:val="0"/>
        <w:keepLines w:val="0"/>
        <w:pageBreakBefore w:val="0"/>
        <w:spacing w:line="360" w:lineRule="auto"/>
        <w:ind w:firstLine="480"/>
        <w:rPr>
          <w:rFonts w:hint="eastAsia" w:ascii="宋体" w:hAnsi="宋体" w:eastAsia="宋体"/>
          <w:sz w:val="24"/>
          <w:highlight w:val="none"/>
        </w:rPr>
      </w:pPr>
      <w:r>
        <w:rPr>
          <w:rFonts w:hint="eastAsia" w:ascii="宋体" w:hAnsi="宋体" w:eastAsia="宋体"/>
          <w:sz w:val="24"/>
          <w:highlight w:val="none"/>
        </w:rPr>
        <w:t>1、施工单位要与采购人保持联系，在施工前确定施工方案提交给采购方。</w:t>
      </w:r>
    </w:p>
    <w:p w14:paraId="14247540">
      <w:pPr>
        <w:keepNext w:val="0"/>
        <w:keepLines w:val="0"/>
        <w:pageBreakBefore w:val="0"/>
        <w:spacing w:line="360" w:lineRule="auto"/>
        <w:ind w:firstLine="480"/>
        <w:rPr>
          <w:rFonts w:hint="eastAsia" w:ascii="宋体" w:hAnsi="宋体" w:eastAsia="宋体"/>
          <w:sz w:val="24"/>
          <w:highlight w:val="none"/>
        </w:rPr>
      </w:pPr>
      <w:r>
        <w:rPr>
          <w:rFonts w:hint="eastAsia" w:ascii="宋体" w:hAnsi="宋体" w:eastAsia="宋体"/>
          <w:sz w:val="24"/>
          <w:highlight w:val="none"/>
        </w:rPr>
        <w:t>2、要重视安全生产，要按规定采取安全措施，确保施工安全。施工中发生任何意外事故均由施工单位负责。</w:t>
      </w:r>
    </w:p>
    <w:p w14:paraId="255C61FA">
      <w:pPr>
        <w:keepNext w:val="0"/>
        <w:keepLines w:val="0"/>
        <w:pageBreakBefore w:val="0"/>
        <w:spacing w:line="360" w:lineRule="auto"/>
        <w:ind w:firstLine="480"/>
        <w:rPr>
          <w:rFonts w:hint="eastAsia" w:ascii="宋体" w:hAnsi="宋体" w:eastAsia="宋体"/>
          <w:sz w:val="24"/>
          <w:highlight w:val="none"/>
        </w:rPr>
      </w:pPr>
      <w:r>
        <w:rPr>
          <w:rFonts w:hint="eastAsia" w:ascii="宋体" w:hAnsi="宋体" w:eastAsia="宋体"/>
          <w:sz w:val="24"/>
          <w:highlight w:val="none"/>
        </w:rPr>
        <w:t>3、要文明施工，注意保护好环境，渣土、废漆等要</w:t>
      </w:r>
      <w:r>
        <w:rPr>
          <w:rFonts w:hint="eastAsia" w:ascii="宋体" w:hAnsi="宋体"/>
          <w:sz w:val="24"/>
          <w:highlight w:val="none"/>
          <w:lang w:eastAsia="zh-CN"/>
        </w:rPr>
        <w:t>做好</w:t>
      </w:r>
      <w:r>
        <w:rPr>
          <w:rFonts w:hint="eastAsia" w:ascii="宋体" w:hAnsi="宋体" w:eastAsia="宋体"/>
          <w:sz w:val="24"/>
          <w:highlight w:val="none"/>
        </w:rPr>
        <w:t>回收处理。施工完毕后要做到工完场清。</w:t>
      </w:r>
    </w:p>
    <w:p w14:paraId="26BBBD20">
      <w:pPr>
        <w:keepNext w:val="0"/>
        <w:keepLines w:val="0"/>
        <w:pageBreakBefore w:val="0"/>
        <w:spacing w:line="360" w:lineRule="auto"/>
        <w:ind w:firstLine="480"/>
        <w:rPr>
          <w:rFonts w:hint="eastAsia" w:ascii="宋体" w:hAnsi="宋体" w:eastAsia="宋体"/>
          <w:sz w:val="24"/>
          <w:highlight w:val="none"/>
        </w:rPr>
      </w:pPr>
      <w:r>
        <w:rPr>
          <w:rFonts w:hint="eastAsia" w:ascii="宋体" w:hAnsi="宋体" w:eastAsia="宋体"/>
          <w:sz w:val="24"/>
          <w:highlight w:val="none"/>
        </w:rPr>
        <w:t>4、严格按照道路、交通、城管相关规定要求施工。</w:t>
      </w:r>
    </w:p>
    <w:p w14:paraId="6DABA737">
      <w:pPr>
        <w:keepNext w:val="0"/>
        <w:keepLines w:val="0"/>
        <w:pageBreakBefore w:val="0"/>
        <w:spacing w:line="360" w:lineRule="auto"/>
        <w:rPr>
          <w:rFonts w:hint="eastAsia" w:ascii="宋体" w:hAnsi="宋体" w:eastAsia="宋体"/>
          <w:b/>
          <w:sz w:val="24"/>
          <w:highlight w:val="none"/>
        </w:rPr>
      </w:pPr>
      <w:r>
        <w:rPr>
          <w:rFonts w:hint="eastAsia" w:ascii="宋体" w:hAnsi="宋体" w:eastAsia="宋体"/>
          <w:b/>
          <w:sz w:val="24"/>
          <w:highlight w:val="none"/>
        </w:rPr>
        <w:t>（三）</w:t>
      </w:r>
      <w:r>
        <w:rPr>
          <w:rFonts w:hint="eastAsia" w:ascii="宋体" w:hAnsi="宋体"/>
          <w:b/>
          <w:sz w:val="24"/>
          <w:highlight w:val="none"/>
          <w:lang w:eastAsia="zh-CN"/>
        </w:rPr>
        <w:t>其他</w:t>
      </w:r>
      <w:r>
        <w:rPr>
          <w:rFonts w:hint="eastAsia" w:ascii="宋体" w:hAnsi="宋体" w:eastAsia="宋体"/>
          <w:b/>
          <w:sz w:val="24"/>
          <w:highlight w:val="none"/>
        </w:rPr>
        <w:t>：</w:t>
      </w:r>
    </w:p>
    <w:p w14:paraId="0D2C1120">
      <w:pPr>
        <w:keepNext w:val="0"/>
        <w:keepLines w:val="0"/>
        <w:pageBreakBefore w:val="0"/>
        <w:spacing w:line="360" w:lineRule="auto"/>
        <w:ind w:firstLine="480"/>
        <w:rPr>
          <w:rFonts w:hint="eastAsia" w:ascii="宋体" w:hAnsi="宋体" w:eastAsia="宋体"/>
          <w:sz w:val="24"/>
          <w:szCs w:val="24"/>
          <w:highlight w:val="none"/>
        </w:rPr>
      </w:pPr>
      <w:r>
        <w:rPr>
          <w:rFonts w:hint="eastAsia" w:ascii="宋体" w:hAnsi="宋体" w:eastAsia="宋体"/>
          <w:sz w:val="24"/>
          <w:szCs w:val="24"/>
          <w:highlight w:val="none"/>
        </w:rPr>
        <w:t>本项目主要任务是</w:t>
      </w:r>
      <w:r>
        <w:rPr>
          <w:rFonts w:hint="eastAsia" w:ascii="宋体" w:hAnsi="宋体" w:eastAsia="Calibri"/>
          <w:sz w:val="24"/>
          <w:highlight w:val="none"/>
        </w:rPr>
        <w:t>对鸿山街道辖区内的违建进行依法</w:t>
      </w:r>
      <w:r>
        <w:rPr>
          <w:rFonts w:hint="eastAsia" w:ascii="宋体" w:hAnsi="宋体" w:eastAsia="宋体"/>
          <w:sz w:val="24"/>
          <w:highlight w:val="none"/>
        </w:rPr>
        <w:t>保护性</w:t>
      </w:r>
      <w:r>
        <w:rPr>
          <w:rFonts w:hint="eastAsia" w:ascii="宋体" w:hAnsi="宋体" w:eastAsia="Calibri"/>
          <w:sz w:val="24"/>
          <w:highlight w:val="none"/>
        </w:rPr>
        <w:t>拆除。</w:t>
      </w:r>
      <w:r>
        <w:rPr>
          <w:rFonts w:hint="eastAsia" w:ascii="宋体" w:hAnsi="宋体" w:eastAsia="宋体"/>
          <w:sz w:val="24"/>
          <w:szCs w:val="24"/>
          <w:highlight w:val="none"/>
        </w:rPr>
        <w:t>通过公开招标，确定中标候选人，中标候选人与采购人签订合同，设立专门的施工队伍，完成分派的各项工作，并按规定落实安全措施，确保施工安全，如发生事故，由施工单位负全责。</w:t>
      </w:r>
    </w:p>
    <w:p w14:paraId="202B5BDD">
      <w:pPr>
        <w:keepNext w:val="0"/>
        <w:keepLines w:val="0"/>
        <w:pageBreakBefore w:val="0"/>
        <w:spacing w:line="360" w:lineRule="auto"/>
        <w:rPr>
          <w:rFonts w:ascii="宋体" w:hAnsi="宋体" w:eastAsia="宋体"/>
          <w:b/>
          <w:bCs/>
          <w:sz w:val="24"/>
          <w:szCs w:val="24"/>
          <w:highlight w:val="none"/>
        </w:rPr>
      </w:pPr>
      <w:r>
        <w:rPr>
          <w:rFonts w:hint="eastAsia" w:ascii="宋体" w:hAnsi="宋体" w:eastAsia="宋体"/>
          <w:b/>
          <w:bCs/>
          <w:sz w:val="24"/>
          <w:szCs w:val="24"/>
          <w:highlight w:val="none"/>
        </w:rPr>
        <w:t>（四）</w:t>
      </w:r>
      <w:r>
        <w:rPr>
          <w:rFonts w:hint="eastAsia" w:ascii="宋体" w:hAnsi="宋体" w:eastAsia="宋体"/>
          <w:b/>
          <w:sz w:val="24"/>
          <w:highlight w:val="none"/>
        </w:rPr>
        <w:t>报价</w:t>
      </w:r>
      <w:r>
        <w:rPr>
          <w:rFonts w:hint="eastAsia" w:ascii="宋体" w:hAnsi="宋体" w:eastAsia="宋体"/>
          <w:b/>
          <w:bCs/>
          <w:sz w:val="24"/>
          <w:szCs w:val="24"/>
          <w:highlight w:val="none"/>
        </w:rPr>
        <w:t>说明：</w:t>
      </w:r>
    </w:p>
    <w:p w14:paraId="521EEB5A">
      <w:pPr>
        <w:keepNext w:val="0"/>
        <w:keepLines w:val="0"/>
        <w:pageBreakBefore w:val="0"/>
        <w:spacing w:line="360" w:lineRule="auto"/>
        <w:ind w:firstLine="480"/>
        <w:rPr>
          <w:rFonts w:hint="eastAsia" w:ascii="宋体" w:hAnsi="宋体" w:eastAsia="宋体"/>
          <w:sz w:val="24"/>
          <w:szCs w:val="24"/>
          <w:highlight w:val="none"/>
        </w:rPr>
      </w:pPr>
      <w:r>
        <w:rPr>
          <w:rFonts w:hint="eastAsia" w:ascii="宋体" w:hAnsi="宋体" w:eastAsia="宋体"/>
          <w:sz w:val="24"/>
          <w:szCs w:val="24"/>
          <w:highlight w:val="none"/>
        </w:rPr>
        <w:t>1、投标供应商的最终报价应是投标供应商在报价文件中提出的各项支付金额的总和，也应是完成投标文件所列采购需求的全部费用；</w:t>
      </w:r>
    </w:p>
    <w:p w14:paraId="7ED83054">
      <w:pPr>
        <w:keepNext w:val="0"/>
        <w:keepLines w:val="0"/>
        <w:pageBreakBefore w:val="0"/>
        <w:spacing w:line="360" w:lineRule="auto"/>
        <w:ind w:firstLine="480"/>
        <w:rPr>
          <w:rFonts w:hint="eastAsia" w:ascii="宋体" w:hAnsi="宋体" w:eastAsia="宋体"/>
          <w:sz w:val="24"/>
          <w:szCs w:val="24"/>
          <w:highlight w:val="none"/>
        </w:rPr>
      </w:pPr>
      <w:r>
        <w:rPr>
          <w:rFonts w:hint="eastAsia" w:ascii="宋体" w:hAnsi="宋体" w:eastAsia="宋体"/>
          <w:sz w:val="24"/>
          <w:szCs w:val="24"/>
          <w:highlight w:val="none"/>
        </w:rPr>
        <w:t>2、最终报价包括但不限于人工费、材料费、机械使用费、管理费和利润、税费、设计费、专家论证费、政策性文件规定的各项规费等费用以及合同明示或暗示的所有一切风险责任和义务等各项应有费用；</w:t>
      </w:r>
    </w:p>
    <w:p w14:paraId="068EC921">
      <w:pPr>
        <w:keepNext w:val="0"/>
        <w:keepLines w:val="0"/>
        <w:pageBreakBefore w:val="0"/>
        <w:spacing w:line="360" w:lineRule="auto"/>
        <w:ind w:firstLine="480"/>
        <w:rPr>
          <w:rFonts w:hint="eastAsia" w:ascii="宋体" w:hAnsi="宋体" w:eastAsia="宋体"/>
          <w:sz w:val="24"/>
          <w:szCs w:val="24"/>
          <w:highlight w:val="none"/>
        </w:rPr>
      </w:pPr>
      <w:r>
        <w:rPr>
          <w:rFonts w:hint="eastAsia" w:ascii="宋体" w:hAnsi="宋体" w:eastAsia="宋体"/>
          <w:sz w:val="24"/>
          <w:szCs w:val="24"/>
          <w:highlight w:val="none"/>
        </w:rPr>
        <w:t>3、除非采购人对招标文件予以修改，供应商应按采购人提供的工程量清单中列出的工程项目和工程量填报单价和合价。每一项目只允许有一个报价。任何有选择的报价将不予接受。供应商未填单价或合价的工程项目，在实施后，采购人将不予以支付，并视为该项费用已包括在其他有价款的单价或合价内。如实际施工的工程量与采购人提供的工程量清单中的数量不一致时，结算时工程量可按实调整；</w:t>
      </w:r>
    </w:p>
    <w:p w14:paraId="6A188675">
      <w:pPr>
        <w:keepNext w:val="0"/>
        <w:keepLines w:val="0"/>
        <w:pageBreakBefore w:val="0"/>
        <w:spacing w:line="360" w:lineRule="auto"/>
        <w:ind w:firstLine="480"/>
        <w:rPr>
          <w:rFonts w:hint="eastAsia" w:ascii="宋体" w:hAnsi="宋体" w:eastAsia="宋体"/>
          <w:sz w:val="24"/>
          <w:szCs w:val="24"/>
          <w:highlight w:val="none"/>
        </w:rPr>
      </w:pPr>
      <w:r>
        <w:rPr>
          <w:rFonts w:hint="eastAsia" w:ascii="宋体" w:hAnsi="宋体" w:eastAsia="宋体"/>
          <w:sz w:val="24"/>
          <w:szCs w:val="24"/>
          <w:highlight w:val="none"/>
        </w:rPr>
        <w:t>4、报价人须对采购项目的全部内容进行响应，并不得出现选择性报价，只报其中部分内容的，为无效报价。</w:t>
      </w:r>
    </w:p>
    <w:p w14:paraId="3D54791E">
      <w:pPr>
        <w:keepNext w:val="0"/>
        <w:keepLines w:val="0"/>
        <w:pageBreakBefore w:val="0"/>
        <w:spacing w:line="360" w:lineRule="auto"/>
        <w:rPr>
          <w:rFonts w:hint="eastAsia" w:ascii="宋体" w:hAnsi="宋体" w:eastAsia="宋体" w:cs="宋体"/>
          <w:b/>
          <w:bCs/>
          <w:sz w:val="28"/>
          <w:szCs w:val="28"/>
          <w:highlight w:val="none"/>
          <w:u w:val="none"/>
        </w:rPr>
      </w:pPr>
      <w:r>
        <w:rPr>
          <w:rFonts w:hint="eastAsia" w:ascii="宋体" w:hAnsi="宋体" w:eastAsia="宋体" w:cs="宋体"/>
          <w:b/>
          <w:bCs/>
          <w:sz w:val="24"/>
          <w:szCs w:val="24"/>
          <w:highlight w:val="none"/>
          <w:u w:val="none"/>
        </w:rPr>
        <w:t>四、有关说明：</w:t>
      </w:r>
      <w:r>
        <w:rPr>
          <w:rFonts w:hint="eastAsia" w:ascii="宋体" w:hAnsi="宋体" w:eastAsia="宋体" w:cs="宋体"/>
          <w:b/>
          <w:bCs/>
          <w:sz w:val="28"/>
          <w:szCs w:val="28"/>
          <w:highlight w:val="none"/>
          <w:u w:val="none"/>
        </w:rPr>
        <w:t xml:space="preserve"> </w:t>
      </w:r>
    </w:p>
    <w:p w14:paraId="13287918">
      <w:pPr>
        <w:keepNext w:val="0"/>
        <w:keepLines w:val="0"/>
        <w:pageBreakBefore w:val="0"/>
        <w:widowControl/>
        <w:spacing w:line="360" w:lineRule="auto"/>
        <w:ind w:firstLine="482"/>
        <w:rPr>
          <w:rFonts w:hint="eastAsia" w:ascii="宋体" w:hAnsi="宋体" w:eastAsia="Calibri" w:cs="宋体"/>
          <w:sz w:val="24"/>
          <w:highlight w:val="none"/>
        </w:rPr>
      </w:pPr>
      <w:r>
        <w:rPr>
          <w:rFonts w:hint="eastAsia" w:ascii="宋体" w:hAnsi="宋体" w:eastAsia="Calibri" w:cs="宋体"/>
          <w:sz w:val="24"/>
          <w:highlight w:val="none"/>
        </w:rPr>
        <w:t>1、项目名称：</w:t>
      </w:r>
      <w:r>
        <w:rPr>
          <w:rFonts w:hint="eastAsia" w:hAnsi="宋体" w:cs="宋体"/>
          <w:sz w:val="24"/>
          <w:highlight w:val="none"/>
          <w:lang w:eastAsia="zh-CN"/>
        </w:rPr>
        <w:t>鸿山街道202</w:t>
      </w:r>
      <w:r>
        <w:rPr>
          <w:rFonts w:hint="eastAsia" w:hAnsi="宋体" w:cs="宋体"/>
          <w:sz w:val="24"/>
          <w:highlight w:val="none"/>
          <w:lang w:val="en-US" w:eastAsia="zh-CN"/>
        </w:rPr>
        <w:t>5</w:t>
      </w:r>
      <w:r>
        <w:rPr>
          <w:rFonts w:hint="eastAsia" w:hAnsi="宋体" w:cs="宋体"/>
          <w:sz w:val="24"/>
          <w:highlight w:val="none"/>
          <w:lang w:eastAsia="zh-CN"/>
        </w:rPr>
        <w:t>年拆违项目</w:t>
      </w:r>
      <w:r>
        <w:rPr>
          <w:rFonts w:hint="eastAsia" w:ascii="宋体" w:hAnsi="宋体" w:eastAsia="Calibri" w:cs="宋体"/>
          <w:sz w:val="24"/>
          <w:highlight w:val="none"/>
        </w:rPr>
        <w:t>。</w:t>
      </w:r>
    </w:p>
    <w:p w14:paraId="6F8696AF">
      <w:pPr>
        <w:keepNext w:val="0"/>
        <w:keepLines w:val="0"/>
        <w:pageBreakBefore w:val="0"/>
        <w:widowControl/>
        <w:spacing w:line="360" w:lineRule="auto"/>
        <w:ind w:firstLine="482"/>
        <w:rPr>
          <w:rFonts w:hint="eastAsia" w:ascii="宋体" w:hAnsi="宋体" w:eastAsia="宋体" w:cs="宋体"/>
          <w:sz w:val="24"/>
          <w:highlight w:val="none"/>
          <w:lang w:eastAsia="zh-CN"/>
        </w:rPr>
      </w:pPr>
      <w:r>
        <w:rPr>
          <w:rFonts w:hint="eastAsia" w:ascii="宋体" w:hAnsi="宋体" w:eastAsia="Calibri" w:cs="宋体"/>
          <w:sz w:val="24"/>
          <w:highlight w:val="none"/>
        </w:rPr>
        <w:t>2、服务期：</w:t>
      </w:r>
      <w:r>
        <w:rPr>
          <w:rFonts w:hint="eastAsia" w:ascii="宋体" w:hAnsi="宋体" w:eastAsia="宋体" w:cs="宋体"/>
          <w:sz w:val="24"/>
          <w:highlight w:val="none"/>
          <w:lang w:eastAsia="zh-CN"/>
        </w:rPr>
        <w:t>一</w:t>
      </w:r>
      <w:r>
        <w:rPr>
          <w:rFonts w:hint="eastAsia" w:ascii="宋体" w:hAnsi="宋体" w:eastAsia="宋体" w:cs="宋体"/>
          <w:sz w:val="24"/>
          <w:highlight w:val="none"/>
        </w:rPr>
        <w:t>年（具体起始日期以合同签订日期为准）</w:t>
      </w:r>
      <w:r>
        <w:rPr>
          <w:rFonts w:hint="eastAsia" w:ascii="宋体" w:hAnsi="宋体" w:eastAsia="宋体" w:cs="宋体"/>
          <w:sz w:val="24"/>
          <w:highlight w:val="none"/>
          <w:lang w:eastAsia="zh-CN"/>
        </w:rPr>
        <w:t>。</w:t>
      </w:r>
    </w:p>
    <w:p w14:paraId="1EDEAE79">
      <w:pPr>
        <w:keepNext w:val="0"/>
        <w:keepLines w:val="0"/>
        <w:pageBreakBefore w:val="0"/>
        <w:widowControl/>
        <w:spacing w:line="360" w:lineRule="auto"/>
        <w:ind w:firstLine="480"/>
        <w:rPr>
          <w:rFonts w:hint="eastAsia" w:ascii="宋体" w:hAnsi="宋体" w:eastAsia="Calibri" w:cs="宋体"/>
          <w:sz w:val="24"/>
          <w:highlight w:val="none"/>
        </w:rPr>
      </w:pPr>
      <w:r>
        <w:rPr>
          <w:rFonts w:hint="eastAsia" w:ascii="宋体" w:hAnsi="宋体" w:eastAsia="宋体" w:cs="宋体"/>
          <w:sz w:val="24"/>
          <w:highlight w:val="none"/>
        </w:rPr>
        <w:t>3、</w:t>
      </w:r>
      <w:r>
        <w:rPr>
          <w:rFonts w:hint="eastAsia" w:ascii="宋体" w:hAnsi="宋体" w:eastAsia="Calibri" w:cs="宋体"/>
          <w:sz w:val="24"/>
          <w:highlight w:val="none"/>
        </w:rPr>
        <w:t>响应时间：因是突击性项目，必须确保随叫随到（最多不超过30分钟到达现场）；</w:t>
      </w:r>
    </w:p>
    <w:p w14:paraId="1A45A868">
      <w:pPr>
        <w:keepNext w:val="0"/>
        <w:keepLines w:val="0"/>
        <w:pageBreakBefore w:val="0"/>
        <w:widowControl/>
        <w:spacing w:line="360" w:lineRule="auto"/>
        <w:ind w:firstLine="480"/>
        <w:rPr>
          <w:rFonts w:hint="eastAsia" w:ascii="宋体" w:hAnsi="宋体" w:eastAsia="宋体" w:cs="宋体"/>
          <w:sz w:val="24"/>
          <w:highlight w:val="none"/>
        </w:rPr>
      </w:pPr>
      <w:r>
        <w:rPr>
          <w:rFonts w:hint="eastAsia" w:ascii="宋体" w:hAnsi="宋体" w:eastAsia="宋体" w:cs="宋体"/>
          <w:sz w:val="24"/>
          <w:highlight w:val="none"/>
        </w:rPr>
        <w:t>4、</w:t>
      </w:r>
      <w:r>
        <w:rPr>
          <w:rFonts w:hint="eastAsia" w:ascii="宋体" w:hAnsi="宋体" w:eastAsia="Calibri" w:cs="宋体"/>
          <w:sz w:val="24"/>
          <w:highlight w:val="none"/>
        </w:rPr>
        <w:t>延误违约金：1000元/</w:t>
      </w:r>
      <w:r>
        <w:rPr>
          <w:rFonts w:hint="eastAsia" w:hAnsi="宋体" w:eastAsia="宋体" w:cs="宋体"/>
          <w:sz w:val="24"/>
          <w:highlight w:val="none"/>
          <w:lang w:val="en-US" w:eastAsia="zh-CN"/>
        </w:rPr>
        <w:t>天</w:t>
      </w:r>
      <w:r>
        <w:rPr>
          <w:rFonts w:hint="eastAsia" w:ascii="宋体" w:hAnsi="宋体" w:eastAsia="宋体" w:cs="宋体"/>
          <w:sz w:val="24"/>
          <w:highlight w:val="none"/>
        </w:rPr>
        <w:t>；</w:t>
      </w:r>
    </w:p>
    <w:p w14:paraId="15503814">
      <w:pPr>
        <w:keepNext w:val="0"/>
        <w:keepLines w:val="0"/>
        <w:pageBreakBefore w:val="0"/>
        <w:widowControl/>
        <w:spacing w:line="360" w:lineRule="auto"/>
        <w:ind w:firstLine="480"/>
        <w:rPr>
          <w:rFonts w:hint="eastAsia" w:ascii="宋体" w:hAnsi="宋体" w:eastAsia="宋体" w:cs="宋体"/>
          <w:sz w:val="24"/>
          <w:highlight w:val="none"/>
        </w:rPr>
      </w:pPr>
      <w:r>
        <w:rPr>
          <w:rFonts w:hint="eastAsia" w:ascii="宋体" w:hAnsi="宋体" w:eastAsia="宋体" w:cs="宋体"/>
          <w:sz w:val="24"/>
          <w:highlight w:val="none"/>
        </w:rPr>
        <w:t>5、</w:t>
      </w:r>
      <w:r>
        <w:rPr>
          <w:rFonts w:hint="eastAsia" w:ascii="宋体" w:hAnsi="宋体" w:eastAsia="Calibri" w:cs="宋体"/>
          <w:sz w:val="24"/>
          <w:highlight w:val="none"/>
        </w:rPr>
        <w:t>质量标准：经采购人二名及以上工作人员现场签证；符合安全生产规定，作业过程中未发生安全事故，且不留安全隐患；拆违结束后，将现场清扫整理干净；符合拆违质量方面的其他有关规定</w:t>
      </w:r>
      <w:r>
        <w:rPr>
          <w:rFonts w:hint="eastAsia" w:ascii="宋体" w:hAnsi="宋体" w:eastAsia="宋体" w:cs="宋体"/>
          <w:sz w:val="24"/>
          <w:highlight w:val="none"/>
        </w:rPr>
        <w:t>；</w:t>
      </w:r>
    </w:p>
    <w:p w14:paraId="3D8DFAC4">
      <w:pPr>
        <w:keepNext w:val="0"/>
        <w:keepLines w:val="0"/>
        <w:pageBreakBefore w:val="0"/>
        <w:widowControl/>
        <w:spacing w:line="360" w:lineRule="auto"/>
        <w:ind w:firstLine="480"/>
        <w:rPr>
          <w:rFonts w:hint="eastAsia" w:ascii="宋体" w:hAnsi="宋体" w:eastAsia="宋体" w:cs="宋体"/>
          <w:sz w:val="24"/>
          <w:highlight w:val="none"/>
        </w:rPr>
      </w:pPr>
      <w:r>
        <w:rPr>
          <w:rFonts w:hint="eastAsia" w:ascii="宋体" w:hAnsi="宋体" w:eastAsia="宋体" w:cs="宋体"/>
          <w:sz w:val="24"/>
          <w:highlight w:val="none"/>
        </w:rPr>
        <w:t>6、</w:t>
      </w:r>
      <w:r>
        <w:rPr>
          <w:rFonts w:hint="eastAsia" w:ascii="宋体" w:hAnsi="宋体" w:eastAsia="Calibri" w:cs="宋体"/>
          <w:sz w:val="24"/>
          <w:highlight w:val="none"/>
        </w:rPr>
        <w:t>质量违约金：扣除当次违建拆除费用</w:t>
      </w:r>
      <w:r>
        <w:rPr>
          <w:rFonts w:hint="eastAsia" w:ascii="宋体" w:hAnsi="宋体" w:eastAsia="宋体" w:cs="宋体"/>
          <w:sz w:val="24"/>
          <w:highlight w:val="none"/>
        </w:rPr>
        <w:t>；</w:t>
      </w:r>
    </w:p>
    <w:p w14:paraId="25D3ED91">
      <w:pPr>
        <w:keepNext w:val="0"/>
        <w:keepLines w:val="0"/>
        <w:pageBreakBefore w:val="0"/>
        <w:widowControl/>
        <w:spacing w:line="360" w:lineRule="auto"/>
        <w:ind w:firstLine="480"/>
        <w:rPr>
          <w:rFonts w:hint="eastAsia" w:ascii="宋体" w:hAnsi="宋体" w:eastAsia="宋体" w:cs="宋体"/>
          <w:sz w:val="24"/>
          <w:highlight w:val="none"/>
        </w:rPr>
      </w:pPr>
      <w:r>
        <w:rPr>
          <w:rFonts w:hint="eastAsia" w:ascii="宋体" w:hAnsi="宋体" w:eastAsia="宋体" w:cs="宋体"/>
          <w:sz w:val="24"/>
          <w:highlight w:val="none"/>
        </w:rPr>
        <w:t>7、安全要求：安全要求应满足国家相关法律法规的要求，无安全责任事故，且不留安全隐患；</w:t>
      </w:r>
    </w:p>
    <w:p w14:paraId="7CF9BA83">
      <w:pPr>
        <w:keepNext w:val="0"/>
        <w:keepLines w:val="0"/>
        <w:pageBreakBefore w:val="0"/>
        <w:widowControl/>
        <w:spacing w:line="360" w:lineRule="auto"/>
        <w:ind w:firstLine="482"/>
        <w:rPr>
          <w:rFonts w:hint="eastAsia" w:ascii="宋体" w:hAnsi="宋体" w:eastAsia="Calibri" w:cs="宋体"/>
          <w:sz w:val="24"/>
          <w:highlight w:val="none"/>
        </w:rPr>
      </w:pPr>
      <w:r>
        <w:rPr>
          <w:rFonts w:hint="eastAsia" w:ascii="宋体" w:hAnsi="宋体" w:eastAsia="宋体" w:cs="宋体"/>
          <w:sz w:val="24"/>
          <w:highlight w:val="none"/>
        </w:rPr>
        <w:t>8、</w:t>
      </w:r>
      <w:r>
        <w:rPr>
          <w:rFonts w:hint="eastAsia" w:ascii="宋体" w:hAnsi="宋体" w:eastAsia="Calibri" w:cs="宋体"/>
          <w:sz w:val="24"/>
          <w:highlight w:val="none"/>
        </w:rPr>
        <w:t>工程计价方式：固定单价；</w:t>
      </w:r>
    </w:p>
    <w:p w14:paraId="69A74469">
      <w:pPr>
        <w:keepNext w:val="0"/>
        <w:keepLines w:val="0"/>
        <w:pageBreakBefore w:val="0"/>
        <w:widowControl/>
        <w:spacing w:line="360" w:lineRule="auto"/>
        <w:ind w:firstLine="482"/>
        <w:rPr>
          <w:rFonts w:ascii="宋体" w:hAnsi="宋体" w:eastAsia="宋体" w:cs="宋体"/>
          <w:sz w:val="24"/>
          <w:highlight w:val="none"/>
        </w:rPr>
      </w:pPr>
      <w:r>
        <w:rPr>
          <w:rFonts w:hint="eastAsia" w:ascii="宋体" w:hAnsi="宋体" w:eastAsia="宋体" w:cs="宋体"/>
          <w:sz w:val="24"/>
          <w:highlight w:val="none"/>
        </w:rPr>
        <w:t>9、本项目采购预算最高限价：</w:t>
      </w:r>
      <w:r>
        <w:rPr>
          <w:rFonts w:hint="eastAsia" w:ascii="宋体" w:hAnsi="宋体" w:eastAsia="宋体" w:cs="宋体"/>
          <w:sz w:val="24"/>
          <w:highlight w:val="none"/>
          <w:lang w:val="en-US" w:eastAsia="zh-CN"/>
        </w:rPr>
        <w:t>50万</w:t>
      </w:r>
      <w:r>
        <w:rPr>
          <w:rFonts w:hint="eastAsia" w:ascii="宋体" w:hAnsi="宋体" w:eastAsia="宋体" w:cs="宋体"/>
          <w:sz w:val="24"/>
          <w:highlight w:val="none"/>
        </w:rPr>
        <w:t>元</w:t>
      </w:r>
      <w:r>
        <w:rPr>
          <w:rFonts w:hint="eastAsia" w:ascii="宋体" w:hAnsi="宋体" w:eastAsia="宋体" w:cs="宋体"/>
          <w:sz w:val="24"/>
          <w:highlight w:val="none"/>
          <w:lang w:val="en-US" w:eastAsia="zh-CN"/>
        </w:rPr>
        <w:t>/年</w:t>
      </w:r>
      <w:r>
        <w:rPr>
          <w:rFonts w:hint="eastAsia" w:ascii="宋体" w:hAnsi="宋体" w:eastAsia="宋体" w:cs="宋体"/>
          <w:sz w:val="24"/>
          <w:highlight w:val="none"/>
        </w:rPr>
        <w:t>；</w:t>
      </w:r>
    </w:p>
    <w:p w14:paraId="55447517">
      <w:pPr>
        <w:keepNext w:val="0"/>
        <w:keepLines w:val="0"/>
        <w:pageBreakBefore w:val="0"/>
        <w:widowControl/>
        <w:spacing w:line="360" w:lineRule="auto"/>
        <w:ind w:firstLine="482"/>
        <w:rPr>
          <w:rFonts w:hint="eastAsia" w:ascii="宋体" w:hAnsi="宋体" w:eastAsia="宋体" w:cs="宋体"/>
          <w:sz w:val="24"/>
          <w:highlight w:val="none"/>
        </w:rPr>
      </w:pPr>
      <w:r>
        <w:rPr>
          <w:rFonts w:hint="eastAsia" w:ascii="宋体" w:hAnsi="宋体" w:eastAsia="Calibri" w:cs="宋体"/>
          <w:sz w:val="24"/>
          <w:highlight w:val="none"/>
        </w:rPr>
        <w:t>10、投标供应商可先到工地踏勘以充分了解工地位置、</w:t>
      </w:r>
      <w:r>
        <w:rPr>
          <w:rFonts w:hint="eastAsia" w:ascii="宋体" w:hAnsi="宋体" w:eastAsia="宋体" w:cs="宋体"/>
          <w:sz w:val="24"/>
          <w:highlight w:val="none"/>
        </w:rPr>
        <w:t>违章建筑内部</w:t>
      </w:r>
      <w:r>
        <w:rPr>
          <w:rFonts w:hint="eastAsia" w:ascii="宋体" w:hAnsi="宋体" w:eastAsia="Calibri" w:cs="宋体"/>
          <w:sz w:val="24"/>
          <w:highlight w:val="none"/>
        </w:rPr>
        <w:t>情况、道路、储存空间、装卸限制及任何其他足以影响承包价的情况，任何因忽视或误解工地情况而导致的索赔或工期延长申请将不被批准</w:t>
      </w:r>
      <w:r>
        <w:rPr>
          <w:rFonts w:hint="eastAsia" w:ascii="宋体" w:hAnsi="宋体" w:eastAsia="宋体" w:cs="宋体"/>
          <w:sz w:val="24"/>
          <w:highlight w:val="none"/>
        </w:rPr>
        <w:t>；</w:t>
      </w:r>
    </w:p>
    <w:p w14:paraId="5215B7E7">
      <w:pPr>
        <w:keepNext w:val="0"/>
        <w:keepLines w:val="0"/>
        <w:pageBreakBefore w:val="0"/>
        <w:widowControl/>
        <w:spacing w:line="360" w:lineRule="auto"/>
        <w:ind w:firstLine="482"/>
        <w:rPr>
          <w:rFonts w:hint="eastAsia" w:ascii="宋体" w:hAnsi="宋体" w:eastAsia="宋体" w:cs="宋体"/>
          <w:sz w:val="24"/>
          <w:highlight w:val="none"/>
        </w:rPr>
      </w:pPr>
      <w:r>
        <w:rPr>
          <w:rFonts w:hint="eastAsia" w:ascii="宋体" w:hAnsi="宋体" w:eastAsia="宋体" w:cs="宋体"/>
          <w:sz w:val="24"/>
          <w:highlight w:val="none"/>
        </w:rPr>
        <w:t>11、</w:t>
      </w:r>
      <w:r>
        <w:rPr>
          <w:rFonts w:hint="eastAsia" w:ascii="宋体" w:hAnsi="宋体" w:eastAsia="Calibri" w:cs="宋体"/>
          <w:sz w:val="24"/>
          <w:highlight w:val="none"/>
        </w:rPr>
        <w:t>验收</w:t>
      </w:r>
      <w:r>
        <w:rPr>
          <w:rFonts w:hint="eastAsia" w:ascii="宋体" w:hAnsi="宋体" w:eastAsia="宋体" w:cs="宋体"/>
          <w:sz w:val="24"/>
          <w:highlight w:val="none"/>
        </w:rPr>
        <w:t>标准</w:t>
      </w:r>
      <w:r>
        <w:rPr>
          <w:rFonts w:hint="eastAsia" w:ascii="宋体" w:hAnsi="宋体" w:eastAsia="Calibri" w:cs="宋体"/>
          <w:sz w:val="24"/>
          <w:highlight w:val="none"/>
        </w:rPr>
        <w:t>：工程质量验收标准按国家规范严格执行。由投标供应商负责组织验收，依据为国家有关规定、</w:t>
      </w:r>
      <w:r>
        <w:rPr>
          <w:rFonts w:hint="eastAsia" w:ascii="宋体" w:hAnsi="宋体" w:eastAsia="宋体" w:cs="宋体"/>
          <w:sz w:val="24"/>
          <w:highlight w:val="none"/>
        </w:rPr>
        <w:t>投标</w:t>
      </w:r>
      <w:r>
        <w:rPr>
          <w:rFonts w:hint="eastAsia" w:ascii="宋体" w:hAnsi="宋体" w:eastAsia="Calibri" w:cs="宋体"/>
          <w:sz w:val="24"/>
          <w:highlight w:val="none"/>
        </w:rPr>
        <w:t>文件、中标方的</w:t>
      </w:r>
      <w:r>
        <w:rPr>
          <w:rFonts w:hint="eastAsia" w:ascii="宋体" w:hAnsi="宋体" w:eastAsia="宋体" w:cs="宋体"/>
          <w:sz w:val="24"/>
          <w:highlight w:val="none"/>
          <w:lang w:eastAsia="zh-CN"/>
        </w:rPr>
        <w:t>投标文件</w:t>
      </w:r>
      <w:r>
        <w:rPr>
          <w:rFonts w:hint="eastAsia" w:ascii="宋体" w:hAnsi="宋体" w:eastAsia="Calibri" w:cs="宋体"/>
          <w:sz w:val="24"/>
          <w:highlight w:val="none"/>
        </w:rPr>
        <w:t>以及其他相关文件和资料。验收情况作为支付货款的依据</w:t>
      </w:r>
      <w:r>
        <w:rPr>
          <w:rFonts w:hint="eastAsia" w:ascii="宋体" w:hAnsi="宋体" w:eastAsia="宋体" w:cs="宋体"/>
          <w:sz w:val="24"/>
          <w:highlight w:val="none"/>
        </w:rPr>
        <w:t>；</w:t>
      </w:r>
    </w:p>
    <w:p w14:paraId="3A23880F">
      <w:pPr>
        <w:keepNext w:val="0"/>
        <w:keepLines w:val="0"/>
        <w:pageBreakBefore w:val="0"/>
        <w:widowControl/>
        <w:spacing w:line="360" w:lineRule="auto"/>
        <w:ind w:firstLine="482"/>
        <w:rPr>
          <w:rFonts w:hint="eastAsia" w:ascii="宋体" w:hAnsi="宋体" w:eastAsia="宋体" w:cs="宋体"/>
          <w:sz w:val="24"/>
          <w:highlight w:val="none"/>
        </w:rPr>
      </w:pPr>
      <w:r>
        <w:rPr>
          <w:rFonts w:hint="eastAsia" w:ascii="宋体" w:hAnsi="宋体" w:eastAsia="宋体" w:cs="宋体"/>
          <w:sz w:val="24"/>
          <w:highlight w:val="none"/>
        </w:rPr>
        <w:t>12、</w:t>
      </w:r>
      <w:r>
        <w:rPr>
          <w:rFonts w:hint="eastAsia" w:ascii="宋体" w:hAnsi="宋体" w:eastAsia="Calibri" w:cs="宋体"/>
          <w:sz w:val="24"/>
          <w:highlight w:val="none"/>
        </w:rPr>
        <w:t>投标人法定代表人或法定代表人授权代表为外籍、港、澳、台地区人士的，其身份证明须提供有效的护照或港澳同胞来往内地通行证、台湾同胞来往大陆通行证，或</w:t>
      </w:r>
      <w:r>
        <w:rPr>
          <w:rFonts w:hint="eastAsia" w:ascii="宋体" w:hAnsi="宋体" w:eastAsia="宋体" w:cs="宋体"/>
          <w:sz w:val="24"/>
          <w:highlight w:val="none"/>
          <w:lang w:eastAsia="zh-CN"/>
        </w:rPr>
        <w:t>其他</w:t>
      </w:r>
      <w:r>
        <w:rPr>
          <w:rFonts w:hint="eastAsia" w:ascii="宋体" w:hAnsi="宋体" w:eastAsia="Calibri" w:cs="宋体"/>
          <w:sz w:val="24"/>
          <w:highlight w:val="none"/>
        </w:rPr>
        <w:t>可在中国大陆有效居留的许可证明</w:t>
      </w:r>
      <w:r>
        <w:rPr>
          <w:rFonts w:hint="eastAsia" w:ascii="宋体" w:hAnsi="宋体" w:eastAsia="宋体" w:cs="宋体"/>
          <w:sz w:val="24"/>
          <w:highlight w:val="none"/>
        </w:rPr>
        <w:t>；</w:t>
      </w:r>
    </w:p>
    <w:p w14:paraId="48C295E5">
      <w:pPr>
        <w:keepNext w:val="0"/>
        <w:keepLines w:val="0"/>
        <w:pageBreakBefore w:val="0"/>
        <w:spacing w:line="360" w:lineRule="auto"/>
        <w:ind w:firstLine="480"/>
        <w:rPr>
          <w:rFonts w:hint="eastAsia" w:ascii="宋体" w:hAnsi="宋体" w:eastAsia="宋体"/>
          <w:sz w:val="24"/>
          <w:szCs w:val="24"/>
          <w:highlight w:val="none"/>
        </w:rPr>
      </w:pPr>
      <w:r>
        <w:rPr>
          <w:rFonts w:hint="eastAsia" w:ascii="宋体" w:hAnsi="宋体" w:eastAsia="宋体"/>
          <w:sz w:val="24"/>
          <w:szCs w:val="24"/>
          <w:highlight w:val="none"/>
        </w:rPr>
        <w:t>13、本项目合同履行地点为无锡市，具体地点以合同书约定为准。</w:t>
      </w:r>
    </w:p>
    <w:p w14:paraId="517D3D85">
      <w:pPr>
        <w:keepNext w:val="0"/>
        <w:keepLines w:val="0"/>
        <w:pageBreakBefore w:val="0"/>
        <w:spacing w:line="360" w:lineRule="auto"/>
        <w:ind w:firstLine="480"/>
        <w:rPr>
          <w:rFonts w:hint="eastAsia" w:ascii="宋体" w:hAnsi="宋体" w:eastAsia="宋体"/>
          <w:sz w:val="24"/>
          <w:szCs w:val="24"/>
          <w:highlight w:val="none"/>
        </w:rPr>
      </w:pPr>
      <w:r>
        <w:rPr>
          <w:rFonts w:hint="eastAsia" w:ascii="宋体" w:hAnsi="宋体"/>
          <w:sz w:val="24"/>
          <w:szCs w:val="24"/>
          <w:highlight w:val="none"/>
          <w:lang w:val="en-US" w:eastAsia="zh-CN"/>
        </w:rPr>
        <w:t>14、付款方式：</w:t>
      </w:r>
      <w:r>
        <w:rPr>
          <w:rFonts w:hint="eastAsia" w:ascii="宋体" w:hAnsi="宋体" w:eastAsia="宋体"/>
          <w:sz w:val="24"/>
          <w:highlight w:val="none"/>
        </w:rPr>
        <w:t>按季度结算，每个季度由乙方按完成的工程量报送甲方审核，审核无误后支付工程进度款的50%，结算审计结束后付至审定价的100%。</w:t>
      </w:r>
      <w:r>
        <w:rPr>
          <w:rFonts w:hint="eastAsia" w:ascii="宋体" w:hAnsi="宋体"/>
          <w:sz w:val="24"/>
          <w:highlight w:val="none"/>
          <w:lang w:eastAsia="zh-CN"/>
        </w:rPr>
        <w:t>（</w:t>
      </w:r>
      <w:r>
        <w:rPr>
          <w:rFonts w:hint="eastAsia" w:ascii="宋体" w:hAnsi="宋体" w:eastAsia="宋体"/>
          <w:sz w:val="24"/>
          <w:szCs w:val="24"/>
          <w:highlight w:val="none"/>
        </w:rPr>
        <w:t>最终结算价按审计数额为准，按实结算</w:t>
      </w:r>
      <w:r>
        <w:rPr>
          <w:rFonts w:hint="eastAsia" w:ascii="宋体" w:hAnsi="宋体"/>
          <w:sz w:val="24"/>
          <w:highlight w:val="none"/>
          <w:lang w:eastAsia="zh-CN"/>
        </w:rPr>
        <w:t>）</w:t>
      </w:r>
    </w:p>
    <w:p w14:paraId="451C8166">
      <w:pPr>
        <w:keepNext w:val="0"/>
        <w:keepLines w:val="0"/>
        <w:pageBreakBefore w:val="0"/>
        <w:widowControl/>
        <w:shd w:val="clear" w:color="auto" w:fill="FFFFFF"/>
        <w:spacing w:line="360" w:lineRule="auto"/>
        <w:jc w:val="left"/>
        <w:rPr>
          <w:rFonts w:hint="eastAsia" w:ascii="宋体" w:hAnsi="宋体" w:eastAsia="宋体" w:cs="宋体"/>
          <w:b/>
          <w:sz w:val="24"/>
          <w:szCs w:val="24"/>
          <w:highlight w:val="none"/>
          <w:lang w:eastAsia="zh-CN"/>
        </w:rPr>
      </w:pPr>
      <w:r>
        <w:rPr>
          <w:rFonts w:hint="eastAsia" w:ascii="宋体" w:hAnsi="宋体" w:eastAsia="宋体" w:cs="宋体"/>
          <w:b/>
          <w:sz w:val="24"/>
          <w:szCs w:val="24"/>
          <w:highlight w:val="none"/>
          <w:lang w:eastAsia="zh-CN"/>
        </w:rPr>
        <w:t>五、工程量清单</w:t>
      </w:r>
    </w:p>
    <w:tbl>
      <w:tblPr>
        <w:tblStyle w:val="3"/>
        <w:tblW w:w="9296" w:type="dxa"/>
        <w:tblInd w:w="-271" w:type="dxa"/>
        <w:tblLayout w:type="fixed"/>
        <w:tblCellMar>
          <w:top w:w="15" w:type="dxa"/>
          <w:left w:w="15" w:type="dxa"/>
          <w:bottom w:w="0" w:type="dxa"/>
          <w:right w:w="15" w:type="dxa"/>
        </w:tblCellMar>
      </w:tblPr>
      <w:tblGrid>
        <w:gridCol w:w="800"/>
        <w:gridCol w:w="2044"/>
        <w:gridCol w:w="3169"/>
        <w:gridCol w:w="855"/>
        <w:gridCol w:w="1462"/>
        <w:gridCol w:w="966"/>
      </w:tblGrid>
      <w:tr w14:paraId="670C7005">
        <w:tblPrEx>
          <w:tblCellMar>
            <w:top w:w="15" w:type="dxa"/>
            <w:left w:w="15" w:type="dxa"/>
            <w:bottom w:w="0" w:type="dxa"/>
            <w:right w:w="15" w:type="dxa"/>
          </w:tblCellMar>
        </w:tblPrEx>
        <w:trPr>
          <w:trHeight w:val="700" w:hRule="atLeast"/>
        </w:trPr>
        <w:tc>
          <w:tcPr>
            <w:tcW w:w="800" w:type="dxa"/>
            <w:tcBorders>
              <w:top w:val="single" w:color="000000" w:sz="8" w:space="0"/>
              <w:left w:val="single" w:color="000000" w:sz="8" w:space="0"/>
              <w:bottom w:val="single" w:color="000000" w:sz="4" w:space="0"/>
              <w:right w:val="single" w:color="000000" w:sz="4" w:space="0"/>
            </w:tcBorders>
            <w:shd w:val="clear" w:color="FFFFFF" w:fill="FFFFFF"/>
            <w:noWrap w:val="0"/>
            <w:tcMar>
              <w:top w:w="15" w:type="dxa"/>
              <w:left w:w="15" w:type="dxa"/>
              <w:right w:w="15" w:type="dxa"/>
            </w:tcMar>
            <w:vAlign w:val="center"/>
          </w:tcPr>
          <w:p w14:paraId="612B226F">
            <w:pPr>
              <w:keepNext w:val="0"/>
              <w:keepLines w:val="0"/>
              <w:widowControl/>
              <w:suppressLineNumbers w:val="0"/>
              <w:jc w:val="center"/>
              <w:rPr>
                <w:rFonts w:ascii="黑体" w:hAnsi="宋体" w:eastAsia="黑体" w:cs="黑体"/>
                <w:i w:val="0"/>
                <w:color w:val="000000"/>
                <w:sz w:val="21"/>
                <w:szCs w:val="21"/>
                <w:highlight w:val="none"/>
                <w:u w:val="none"/>
              </w:rPr>
            </w:pPr>
            <w:r>
              <w:rPr>
                <w:rFonts w:hint="eastAsia" w:ascii="黑体" w:hAnsi="宋体" w:eastAsia="黑体" w:cs="黑体"/>
                <w:i w:val="0"/>
                <w:color w:val="000000"/>
                <w:sz w:val="21"/>
                <w:szCs w:val="21"/>
                <w:highlight w:val="none"/>
                <w:u w:val="none"/>
                <w:lang w:val="en-US" w:eastAsia="zh-CN" w:bidi="ar"/>
              </w:rPr>
              <w:t>序号</w:t>
            </w:r>
          </w:p>
        </w:tc>
        <w:tc>
          <w:tcPr>
            <w:tcW w:w="2044" w:type="dxa"/>
            <w:tcBorders>
              <w:top w:val="single" w:color="000000" w:sz="8"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14:paraId="3F476846">
            <w:pPr>
              <w:keepNext w:val="0"/>
              <w:keepLines w:val="0"/>
              <w:widowControl/>
              <w:suppressLineNumbers w:val="0"/>
              <w:jc w:val="center"/>
              <w:rPr>
                <w:rFonts w:hint="eastAsia" w:ascii="黑体" w:hAnsi="宋体" w:eastAsia="黑体" w:cs="黑体"/>
                <w:i w:val="0"/>
                <w:color w:val="000000"/>
                <w:sz w:val="21"/>
                <w:szCs w:val="21"/>
                <w:highlight w:val="none"/>
                <w:u w:val="none"/>
              </w:rPr>
            </w:pPr>
            <w:r>
              <w:rPr>
                <w:rFonts w:hint="eastAsia" w:ascii="黑体" w:hAnsi="宋体" w:eastAsia="黑体" w:cs="黑体"/>
                <w:i w:val="0"/>
                <w:color w:val="000000"/>
                <w:sz w:val="21"/>
                <w:szCs w:val="21"/>
                <w:highlight w:val="none"/>
                <w:u w:val="none"/>
                <w:lang w:val="en-US" w:eastAsia="zh-CN" w:bidi="ar"/>
              </w:rPr>
              <w:t>项目名称</w:t>
            </w:r>
          </w:p>
        </w:tc>
        <w:tc>
          <w:tcPr>
            <w:tcW w:w="3169" w:type="dxa"/>
            <w:tcBorders>
              <w:top w:val="single" w:color="000000" w:sz="8"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14:paraId="5DED27C0">
            <w:pPr>
              <w:keepNext w:val="0"/>
              <w:keepLines w:val="0"/>
              <w:widowControl/>
              <w:suppressLineNumbers w:val="0"/>
              <w:jc w:val="center"/>
              <w:rPr>
                <w:rFonts w:hint="eastAsia" w:ascii="黑体" w:hAnsi="宋体" w:eastAsia="黑体" w:cs="黑体"/>
                <w:i w:val="0"/>
                <w:color w:val="000000"/>
                <w:sz w:val="21"/>
                <w:szCs w:val="21"/>
                <w:highlight w:val="none"/>
                <w:u w:val="none"/>
              </w:rPr>
            </w:pPr>
            <w:r>
              <w:rPr>
                <w:rFonts w:hint="eastAsia" w:ascii="黑体" w:hAnsi="宋体" w:eastAsia="黑体" w:cs="黑体"/>
                <w:i w:val="0"/>
                <w:color w:val="000000"/>
                <w:sz w:val="21"/>
                <w:szCs w:val="21"/>
                <w:highlight w:val="none"/>
                <w:u w:val="none"/>
                <w:lang w:val="en-US" w:eastAsia="zh-CN" w:bidi="ar"/>
              </w:rPr>
              <w:t>项目特征描述</w:t>
            </w:r>
          </w:p>
        </w:tc>
        <w:tc>
          <w:tcPr>
            <w:tcW w:w="855" w:type="dxa"/>
            <w:tcBorders>
              <w:top w:val="single" w:color="000000" w:sz="8"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14:paraId="22682CC1">
            <w:pPr>
              <w:keepNext w:val="0"/>
              <w:keepLines w:val="0"/>
              <w:widowControl/>
              <w:suppressLineNumbers w:val="0"/>
              <w:jc w:val="center"/>
              <w:rPr>
                <w:rFonts w:hint="eastAsia" w:ascii="黑体" w:hAnsi="宋体" w:eastAsia="黑体" w:cs="黑体"/>
                <w:i w:val="0"/>
                <w:color w:val="000000"/>
                <w:sz w:val="21"/>
                <w:szCs w:val="21"/>
                <w:highlight w:val="none"/>
                <w:u w:val="none"/>
                <w:lang w:val="en-US" w:eastAsia="zh-CN" w:bidi="ar"/>
              </w:rPr>
            </w:pPr>
            <w:r>
              <w:rPr>
                <w:rFonts w:hint="eastAsia" w:ascii="黑体" w:hAnsi="宋体" w:eastAsia="黑体" w:cs="黑体"/>
                <w:i w:val="0"/>
                <w:color w:val="000000"/>
                <w:sz w:val="21"/>
                <w:szCs w:val="21"/>
                <w:highlight w:val="none"/>
                <w:u w:val="none"/>
                <w:lang w:val="en-US" w:eastAsia="zh-CN" w:bidi="ar"/>
              </w:rPr>
              <w:t>计量</w:t>
            </w:r>
          </w:p>
          <w:p w14:paraId="746005FD">
            <w:pPr>
              <w:keepNext w:val="0"/>
              <w:keepLines w:val="0"/>
              <w:widowControl/>
              <w:suppressLineNumbers w:val="0"/>
              <w:jc w:val="center"/>
              <w:rPr>
                <w:rFonts w:hint="eastAsia" w:ascii="黑体" w:hAnsi="宋体" w:eastAsia="黑体" w:cs="黑体"/>
                <w:i w:val="0"/>
                <w:color w:val="000000"/>
                <w:sz w:val="21"/>
                <w:szCs w:val="21"/>
                <w:highlight w:val="none"/>
                <w:u w:val="none"/>
              </w:rPr>
            </w:pPr>
            <w:r>
              <w:rPr>
                <w:rFonts w:hint="eastAsia" w:ascii="黑体" w:hAnsi="宋体" w:eastAsia="黑体" w:cs="黑体"/>
                <w:i w:val="0"/>
                <w:color w:val="000000"/>
                <w:sz w:val="21"/>
                <w:szCs w:val="21"/>
                <w:highlight w:val="none"/>
                <w:u w:val="none"/>
                <w:lang w:val="en-US" w:eastAsia="zh-CN" w:bidi="ar"/>
              </w:rPr>
              <w:t>单位</w:t>
            </w:r>
          </w:p>
        </w:tc>
        <w:tc>
          <w:tcPr>
            <w:tcW w:w="1462" w:type="dxa"/>
            <w:tcBorders>
              <w:top w:val="single" w:color="000000" w:sz="8"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14:paraId="418F3954">
            <w:pPr>
              <w:keepNext w:val="0"/>
              <w:keepLines w:val="0"/>
              <w:widowControl/>
              <w:suppressLineNumbers w:val="0"/>
              <w:jc w:val="center"/>
              <w:rPr>
                <w:rFonts w:hint="eastAsia" w:ascii="黑体" w:hAnsi="宋体" w:eastAsia="黑体" w:cs="黑体"/>
                <w:i w:val="0"/>
                <w:color w:val="000000"/>
                <w:sz w:val="21"/>
                <w:szCs w:val="21"/>
                <w:highlight w:val="none"/>
                <w:u w:val="none"/>
              </w:rPr>
            </w:pPr>
            <w:r>
              <w:rPr>
                <w:rFonts w:hint="eastAsia" w:ascii="黑体" w:hAnsi="宋体" w:eastAsia="黑体" w:cs="黑体"/>
                <w:i w:val="0"/>
                <w:color w:val="000000"/>
                <w:sz w:val="21"/>
                <w:szCs w:val="21"/>
                <w:highlight w:val="none"/>
                <w:u w:val="none"/>
                <w:lang w:val="en-US" w:eastAsia="zh-CN" w:bidi="ar"/>
              </w:rPr>
              <w:t>工程量</w:t>
            </w:r>
          </w:p>
        </w:tc>
        <w:tc>
          <w:tcPr>
            <w:tcW w:w="966" w:type="dxa"/>
            <w:tcBorders>
              <w:top w:val="single" w:color="000000" w:sz="8" w:space="0"/>
              <w:left w:val="single" w:color="000000" w:sz="4" w:space="0"/>
              <w:bottom w:val="single" w:color="000000" w:sz="4" w:space="0"/>
              <w:right w:val="single" w:color="000000" w:sz="4" w:space="0"/>
            </w:tcBorders>
            <w:shd w:val="clear" w:color="FFFFFF" w:fill="FFFFFF"/>
            <w:noWrap w:val="0"/>
            <w:tcMar>
              <w:top w:w="15" w:type="dxa"/>
              <w:left w:w="15" w:type="dxa"/>
              <w:right w:w="15" w:type="dxa"/>
            </w:tcMar>
            <w:vAlign w:val="center"/>
          </w:tcPr>
          <w:p w14:paraId="67F685E0">
            <w:pPr>
              <w:keepNext w:val="0"/>
              <w:keepLines w:val="0"/>
              <w:widowControl/>
              <w:suppressLineNumbers w:val="0"/>
              <w:jc w:val="center"/>
              <w:rPr>
                <w:rFonts w:hint="eastAsia" w:ascii="黑体" w:hAnsi="宋体" w:eastAsia="黑体" w:cs="黑体"/>
                <w:i w:val="0"/>
                <w:color w:val="000000"/>
                <w:sz w:val="21"/>
                <w:szCs w:val="21"/>
                <w:highlight w:val="none"/>
                <w:u w:val="none"/>
                <w:lang w:val="en-US" w:eastAsia="zh-CN" w:bidi="ar"/>
              </w:rPr>
            </w:pPr>
            <w:r>
              <w:rPr>
                <w:rFonts w:hint="eastAsia" w:ascii="黑体" w:hAnsi="宋体" w:eastAsia="黑体" w:cs="黑体"/>
                <w:i w:val="0"/>
                <w:color w:val="000000"/>
                <w:sz w:val="21"/>
                <w:szCs w:val="21"/>
                <w:highlight w:val="none"/>
                <w:u w:val="none"/>
                <w:lang w:val="en-US" w:eastAsia="zh-CN" w:bidi="ar"/>
              </w:rPr>
              <w:t>备注</w:t>
            </w:r>
          </w:p>
        </w:tc>
      </w:tr>
      <w:tr w14:paraId="3827BB7D">
        <w:tblPrEx>
          <w:tblCellMar>
            <w:top w:w="15" w:type="dxa"/>
            <w:left w:w="15" w:type="dxa"/>
            <w:bottom w:w="0" w:type="dxa"/>
            <w:right w:w="15" w:type="dxa"/>
          </w:tblCellMar>
        </w:tblPrEx>
        <w:trPr>
          <w:trHeight w:val="2990" w:hRule="atLeast"/>
        </w:trPr>
        <w:tc>
          <w:tcPr>
            <w:tcW w:w="800" w:type="dxa"/>
            <w:tcBorders>
              <w:top w:val="single" w:color="000000" w:sz="4" w:space="0"/>
              <w:left w:val="single" w:color="000000" w:sz="8" w:space="0"/>
              <w:bottom w:val="single" w:color="000000" w:sz="4" w:space="0"/>
              <w:right w:val="single" w:color="000000" w:sz="4" w:space="0"/>
            </w:tcBorders>
            <w:noWrap w:val="0"/>
            <w:tcMar>
              <w:top w:w="15" w:type="dxa"/>
              <w:left w:w="15" w:type="dxa"/>
              <w:right w:w="15" w:type="dxa"/>
            </w:tcMar>
            <w:vAlign w:val="center"/>
          </w:tcPr>
          <w:p w14:paraId="6FAA8D5E">
            <w:pPr>
              <w:keepNext w:val="0"/>
              <w:keepLines w:val="0"/>
              <w:widowControl/>
              <w:suppressLineNumbers w:val="0"/>
              <w:jc w:val="center"/>
              <w:rPr>
                <w:rFonts w:hint="eastAsia" w:ascii="宋体" w:hAnsi="宋体" w:eastAsia="宋体" w:cs="宋体"/>
                <w:i w:val="0"/>
                <w:color w:val="000000"/>
                <w:sz w:val="21"/>
                <w:szCs w:val="21"/>
                <w:highlight w:val="none"/>
                <w:u w:val="none"/>
              </w:rPr>
            </w:pPr>
            <w:r>
              <w:rPr>
                <w:rFonts w:hint="eastAsia" w:ascii="宋体" w:hAnsi="宋体" w:eastAsia="宋体" w:cs="宋体"/>
                <w:i w:val="0"/>
                <w:color w:val="000000"/>
                <w:sz w:val="21"/>
                <w:szCs w:val="21"/>
                <w:highlight w:val="none"/>
                <w:u w:val="none"/>
                <w:lang w:val="en-US" w:eastAsia="zh-CN" w:bidi="ar"/>
              </w:rPr>
              <w:t>1</w:t>
            </w:r>
          </w:p>
        </w:tc>
        <w:tc>
          <w:tcPr>
            <w:tcW w:w="204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E250BB4">
            <w:pPr>
              <w:widowControl/>
              <w:jc w:val="center"/>
              <w:rPr>
                <w:rFonts w:hint="eastAsia" w:ascii="宋体" w:hAnsi="宋体" w:eastAsia="宋体" w:cs="宋体"/>
                <w:i w:val="0"/>
                <w:color w:val="000000"/>
                <w:sz w:val="21"/>
                <w:szCs w:val="21"/>
                <w:highlight w:val="none"/>
                <w:u w:val="none"/>
              </w:rPr>
            </w:pPr>
            <w:r>
              <w:rPr>
                <w:rFonts w:hint="eastAsia" w:hAnsi="宋体" w:cs="宋体"/>
                <w:color w:val="000000"/>
                <w:sz w:val="21"/>
                <w:szCs w:val="21"/>
                <w:highlight w:val="none"/>
                <w:lang w:bidi="ar"/>
              </w:rPr>
              <w:t>砖砌体拆除（机械整体拆除砖土木结构）</w:t>
            </w:r>
          </w:p>
        </w:tc>
        <w:tc>
          <w:tcPr>
            <w:tcW w:w="316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85FCD82">
            <w:pPr>
              <w:widowControl/>
              <w:jc w:val="left"/>
              <w:rPr>
                <w:rFonts w:hint="eastAsia" w:hAnsi="宋体" w:eastAsia="宋体" w:cs="宋体"/>
                <w:color w:val="000000"/>
                <w:sz w:val="21"/>
                <w:szCs w:val="21"/>
                <w:highlight w:val="none"/>
                <w:lang w:eastAsia="zh-CN" w:bidi="ar"/>
              </w:rPr>
            </w:pPr>
            <w:r>
              <w:rPr>
                <w:rFonts w:hint="eastAsia" w:hAnsi="宋体" w:cs="宋体"/>
                <w:color w:val="000000"/>
                <w:sz w:val="21"/>
                <w:szCs w:val="21"/>
                <w:highlight w:val="none"/>
                <w:lang w:bidi="ar"/>
              </w:rPr>
              <w:t>1、结构形式：机械整体拆除砖土木结构、屋面形式综合考虑</w:t>
            </w:r>
          </w:p>
          <w:p w14:paraId="4284EACB">
            <w:pPr>
              <w:widowControl/>
              <w:jc w:val="left"/>
              <w:rPr>
                <w:rFonts w:hint="eastAsia" w:hAnsi="宋体" w:eastAsia="宋体" w:cs="宋体"/>
                <w:color w:val="000000"/>
                <w:sz w:val="21"/>
                <w:szCs w:val="21"/>
                <w:highlight w:val="none"/>
                <w:lang w:eastAsia="zh-CN" w:bidi="ar"/>
              </w:rPr>
            </w:pPr>
            <w:r>
              <w:rPr>
                <w:rFonts w:hint="eastAsia" w:hAnsi="宋体" w:cs="宋体"/>
                <w:color w:val="000000"/>
                <w:sz w:val="21"/>
                <w:szCs w:val="21"/>
                <w:highlight w:val="none"/>
                <w:lang w:bidi="ar"/>
              </w:rPr>
              <w:t>2、工程量计量：整体拆除按建筑面积以m2计算</w:t>
            </w:r>
          </w:p>
          <w:p w14:paraId="4FACC316">
            <w:pPr>
              <w:widowControl/>
              <w:jc w:val="left"/>
              <w:rPr>
                <w:rFonts w:hint="eastAsia" w:hAnsi="宋体" w:eastAsia="宋体" w:cs="宋体"/>
                <w:color w:val="000000"/>
                <w:sz w:val="21"/>
                <w:szCs w:val="21"/>
                <w:highlight w:val="none"/>
                <w:lang w:eastAsia="zh-CN" w:bidi="ar"/>
              </w:rPr>
            </w:pPr>
            <w:r>
              <w:rPr>
                <w:rFonts w:hint="eastAsia" w:hAnsi="宋体" w:cs="宋体"/>
                <w:color w:val="000000"/>
                <w:sz w:val="21"/>
                <w:szCs w:val="21"/>
                <w:highlight w:val="none"/>
                <w:lang w:bidi="ar"/>
              </w:rPr>
              <w:t>3、拆除内容：全部建筑物拆除、破碎、渣土原地清理归堆，堆放至指定位置</w:t>
            </w:r>
          </w:p>
          <w:p w14:paraId="58AF9293">
            <w:pPr>
              <w:widowControl/>
              <w:jc w:val="left"/>
              <w:rPr>
                <w:rFonts w:hint="eastAsia" w:ascii="宋体" w:hAnsi="宋体" w:eastAsia="宋体" w:cs="宋体"/>
                <w:i w:val="0"/>
                <w:color w:val="000000"/>
                <w:sz w:val="21"/>
                <w:szCs w:val="21"/>
                <w:highlight w:val="none"/>
                <w:u w:val="none"/>
              </w:rPr>
            </w:pPr>
            <w:r>
              <w:rPr>
                <w:rFonts w:hint="eastAsia" w:hAnsi="宋体" w:cs="宋体"/>
                <w:color w:val="000000"/>
                <w:sz w:val="21"/>
                <w:szCs w:val="21"/>
                <w:highlight w:val="none"/>
                <w:lang w:bidi="ar"/>
              </w:rPr>
              <w:t>4、拆除机械、拆除脚手架、机械进出场费等由施工单位综合考虑</w:t>
            </w:r>
          </w:p>
        </w:tc>
        <w:tc>
          <w:tcPr>
            <w:tcW w:w="85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BAEB92B">
            <w:pPr>
              <w:widowControl/>
              <w:jc w:val="center"/>
              <w:rPr>
                <w:rFonts w:hint="eastAsia" w:ascii="宋体" w:hAnsi="宋体" w:eastAsia="宋体" w:cs="宋体"/>
                <w:i w:val="0"/>
                <w:color w:val="000000"/>
                <w:sz w:val="21"/>
                <w:szCs w:val="21"/>
                <w:highlight w:val="none"/>
                <w:u w:val="none"/>
                <w:lang w:val="en-US" w:eastAsia="zh-CN"/>
              </w:rPr>
            </w:pPr>
            <w:r>
              <w:rPr>
                <w:rFonts w:hint="eastAsia" w:hAnsi="宋体" w:cs="宋体"/>
                <w:color w:val="000000"/>
                <w:sz w:val="21"/>
                <w:szCs w:val="21"/>
                <w:highlight w:val="none"/>
                <w:lang w:val="en-US" w:eastAsia="zh-CN" w:bidi="ar"/>
              </w:rPr>
              <w:t>平方米</w:t>
            </w:r>
          </w:p>
        </w:tc>
        <w:tc>
          <w:tcPr>
            <w:tcW w:w="1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0F59F38">
            <w:pPr>
              <w:widowControl/>
              <w:jc w:val="center"/>
              <w:rPr>
                <w:rFonts w:hint="eastAsia" w:ascii="宋体" w:hAnsi="宋体" w:eastAsia="宋体" w:cs="宋体"/>
                <w:i w:val="0"/>
                <w:color w:val="000000"/>
                <w:sz w:val="21"/>
                <w:szCs w:val="21"/>
                <w:highlight w:val="none"/>
                <w:u w:val="none"/>
              </w:rPr>
            </w:pPr>
            <w:r>
              <w:rPr>
                <w:rFonts w:hint="eastAsia" w:hAnsi="宋体" w:cs="宋体"/>
                <w:color w:val="000000"/>
                <w:sz w:val="21"/>
                <w:szCs w:val="21"/>
                <w:highlight w:val="none"/>
                <w:lang w:bidi="ar"/>
              </w:rPr>
              <w:t>1000</w:t>
            </w:r>
          </w:p>
        </w:tc>
        <w:tc>
          <w:tcPr>
            <w:tcW w:w="96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FD6433C">
            <w:pPr>
              <w:keepNext w:val="0"/>
              <w:keepLines w:val="0"/>
              <w:widowControl/>
              <w:suppressLineNumbers w:val="0"/>
              <w:jc w:val="right"/>
              <w:rPr>
                <w:rFonts w:hint="eastAsia" w:ascii="宋体" w:hAnsi="宋体" w:eastAsia="宋体" w:cs="宋体"/>
                <w:i w:val="0"/>
                <w:color w:val="000000"/>
                <w:sz w:val="21"/>
                <w:szCs w:val="21"/>
                <w:highlight w:val="none"/>
                <w:u w:val="none"/>
                <w:lang w:val="en-US" w:eastAsia="zh-CN" w:bidi="ar"/>
              </w:rPr>
            </w:pPr>
          </w:p>
        </w:tc>
      </w:tr>
      <w:tr w14:paraId="627012BE">
        <w:tblPrEx>
          <w:tblCellMar>
            <w:top w:w="15" w:type="dxa"/>
            <w:left w:w="15" w:type="dxa"/>
            <w:bottom w:w="0" w:type="dxa"/>
            <w:right w:w="15" w:type="dxa"/>
          </w:tblCellMar>
        </w:tblPrEx>
        <w:trPr>
          <w:trHeight w:val="2693" w:hRule="atLeast"/>
        </w:trPr>
        <w:tc>
          <w:tcPr>
            <w:tcW w:w="800" w:type="dxa"/>
            <w:tcBorders>
              <w:top w:val="single" w:color="000000" w:sz="4" w:space="0"/>
              <w:left w:val="single" w:color="000000" w:sz="8" w:space="0"/>
              <w:bottom w:val="single" w:color="000000" w:sz="4" w:space="0"/>
              <w:right w:val="single" w:color="000000" w:sz="4" w:space="0"/>
            </w:tcBorders>
            <w:noWrap w:val="0"/>
            <w:tcMar>
              <w:top w:w="15" w:type="dxa"/>
              <w:left w:w="15" w:type="dxa"/>
              <w:right w:w="15" w:type="dxa"/>
            </w:tcMar>
            <w:vAlign w:val="center"/>
          </w:tcPr>
          <w:p w14:paraId="46FE9033">
            <w:pPr>
              <w:keepNext w:val="0"/>
              <w:keepLines w:val="0"/>
              <w:widowControl/>
              <w:suppressLineNumbers w:val="0"/>
              <w:jc w:val="center"/>
              <w:rPr>
                <w:rFonts w:hint="eastAsia" w:ascii="宋体" w:hAnsi="宋体" w:eastAsia="宋体" w:cs="宋体"/>
                <w:i w:val="0"/>
                <w:color w:val="000000"/>
                <w:sz w:val="21"/>
                <w:szCs w:val="21"/>
                <w:highlight w:val="none"/>
                <w:u w:val="none"/>
              </w:rPr>
            </w:pPr>
            <w:r>
              <w:rPr>
                <w:rFonts w:hint="eastAsia" w:ascii="宋体" w:hAnsi="宋体" w:eastAsia="宋体" w:cs="宋体"/>
                <w:i w:val="0"/>
                <w:color w:val="000000"/>
                <w:sz w:val="21"/>
                <w:szCs w:val="21"/>
                <w:highlight w:val="none"/>
                <w:u w:val="none"/>
                <w:lang w:val="en-US" w:eastAsia="zh-CN" w:bidi="ar"/>
              </w:rPr>
              <w:t>2</w:t>
            </w:r>
          </w:p>
        </w:tc>
        <w:tc>
          <w:tcPr>
            <w:tcW w:w="204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B89AA23">
            <w:pPr>
              <w:widowControl/>
              <w:jc w:val="center"/>
              <w:rPr>
                <w:rFonts w:hint="eastAsia" w:ascii="宋体" w:hAnsi="宋体" w:eastAsia="宋体" w:cs="宋体"/>
                <w:i w:val="0"/>
                <w:color w:val="000000"/>
                <w:sz w:val="21"/>
                <w:szCs w:val="21"/>
                <w:highlight w:val="none"/>
                <w:u w:val="none"/>
              </w:rPr>
            </w:pPr>
            <w:r>
              <w:rPr>
                <w:rFonts w:hint="eastAsia" w:hAnsi="宋体" w:cs="宋体"/>
                <w:color w:val="000000"/>
                <w:sz w:val="21"/>
                <w:szCs w:val="21"/>
                <w:highlight w:val="none"/>
                <w:lang w:bidi="ar"/>
              </w:rPr>
              <w:t>混凝土构件拆除（机械整体拆除砖混结构）</w:t>
            </w:r>
          </w:p>
        </w:tc>
        <w:tc>
          <w:tcPr>
            <w:tcW w:w="316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3D9181E">
            <w:pPr>
              <w:widowControl/>
              <w:jc w:val="left"/>
              <w:rPr>
                <w:rFonts w:hint="eastAsia" w:hAnsi="宋体" w:eastAsia="宋体" w:cs="宋体"/>
                <w:color w:val="000000"/>
                <w:sz w:val="21"/>
                <w:szCs w:val="21"/>
                <w:highlight w:val="none"/>
                <w:lang w:eastAsia="zh-CN" w:bidi="ar"/>
              </w:rPr>
            </w:pPr>
            <w:r>
              <w:rPr>
                <w:rFonts w:hint="eastAsia" w:hAnsi="宋体" w:cs="宋体"/>
                <w:color w:val="000000"/>
                <w:sz w:val="21"/>
                <w:szCs w:val="21"/>
                <w:highlight w:val="none"/>
                <w:lang w:bidi="ar"/>
              </w:rPr>
              <w:t>1、结构形式：机械整体拆除砖混结构、屋面形式综合考虑</w:t>
            </w:r>
          </w:p>
          <w:p w14:paraId="3158AB39">
            <w:pPr>
              <w:widowControl/>
              <w:jc w:val="left"/>
              <w:rPr>
                <w:rFonts w:hint="eastAsia" w:hAnsi="宋体" w:eastAsia="宋体" w:cs="宋体"/>
                <w:color w:val="000000"/>
                <w:sz w:val="21"/>
                <w:szCs w:val="21"/>
                <w:highlight w:val="none"/>
                <w:lang w:eastAsia="zh-CN" w:bidi="ar"/>
              </w:rPr>
            </w:pPr>
            <w:r>
              <w:rPr>
                <w:rFonts w:hint="eastAsia" w:hAnsi="宋体" w:cs="宋体"/>
                <w:color w:val="000000"/>
                <w:sz w:val="21"/>
                <w:szCs w:val="21"/>
                <w:highlight w:val="none"/>
                <w:lang w:bidi="ar"/>
              </w:rPr>
              <w:t>2、工程量计量：整体拆除按建筑面积以m2计算</w:t>
            </w:r>
          </w:p>
          <w:p w14:paraId="58FBB723">
            <w:pPr>
              <w:widowControl/>
              <w:jc w:val="left"/>
              <w:rPr>
                <w:rFonts w:hint="eastAsia" w:hAnsi="宋体" w:eastAsia="宋体" w:cs="宋体"/>
                <w:color w:val="000000"/>
                <w:sz w:val="21"/>
                <w:szCs w:val="21"/>
                <w:highlight w:val="none"/>
                <w:lang w:eastAsia="zh-CN" w:bidi="ar"/>
              </w:rPr>
            </w:pPr>
            <w:r>
              <w:rPr>
                <w:rFonts w:hint="eastAsia" w:hAnsi="宋体" w:cs="宋体"/>
                <w:color w:val="000000"/>
                <w:sz w:val="21"/>
                <w:szCs w:val="21"/>
                <w:highlight w:val="none"/>
                <w:lang w:bidi="ar"/>
              </w:rPr>
              <w:t>3、拆除内容：全部建筑物拆除、破碎、渣土原地清理归堆，堆放至指定位置</w:t>
            </w:r>
          </w:p>
          <w:p w14:paraId="171945CD">
            <w:pPr>
              <w:widowControl/>
              <w:jc w:val="left"/>
              <w:rPr>
                <w:rFonts w:hint="eastAsia" w:ascii="宋体" w:hAnsi="宋体" w:eastAsia="宋体" w:cs="宋体"/>
                <w:i w:val="0"/>
                <w:color w:val="000000"/>
                <w:sz w:val="21"/>
                <w:szCs w:val="21"/>
                <w:highlight w:val="none"/>
                <w:u w:val="none"/>
              </w:rPr>
            </w:pPr>
            <w:r>
              <w:rPr>
                <w:rFonts w:hint="eastAsia" w:hAnsi="宋体" w:cs="宋体"/>
                <w:color w:val="000000"/>
                <w:sz w:val="21"/>
                <w:szCs w:val="21"/>
                <w:highlight w:val="none"/>
                <w:lang w:bidi="ar"/>
              </w:rPr>
              <w:t>4、拆除机械、拆除脚手架、机械进出场费等由施工单位综合考虑</w:t>
            </w:r>
          </w:p>
        </w:tc>
        <w:tc>
          <w:tcPr>
            <w:tcW w:w="85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EA5DF4E">
            <w:pPr>
              <w:widowControl/>
              <w:jc w:val="center"/>
              <w:rPr>
                <w:rFonts w:hint="eastAsia" w:ascii="宋体" w:hAnsi="宋体" w:eastAsia="宋体" w:cs="宋体"/>
                <w:i w:val="0"/>
                <w:color w:val="000000"/>
                <w:sz w:val="21"/>
                <w:szCs w:val="21"/>
                <w:highlight w:val="none"/>
                <w:u w:val="none"/>
              </w:rPr>
            </w:pPr>
            <w:r>
              <w:rPr>
                <w:rFonts w:hint="eastAsia" w:hAnsi="宋体" w:cs="宋体"/>
                <w:color w:val="000000"/>
                <w:sz w:val="21"/>
                <w:szCs w:val="21"/>
                <w:highlight w:val="none"/>
                <w:lang w:val="en-US" w:eastAsia="zh-CN" w:bidi="ar"/>
              </w:rPr>
              <w:t>平方米</w:t>
            </w:r>
          </w:p>
        </w:tc>
        <w:tc>
          <w:tcPr>
            <w:tcW w:w="1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267FC7E">
            <w:pPr>
              <w:widowControl/>
              <w:jc w:val="center"/>
              <w:rPr>
                <w:rFonts w:hint="eastAsia" w:ascii="宋体" w:hAnsi="宋体" w:eastAsia="宋体" w:cs="宋体"/>
                <w:i w:val="0"/>
                <w:color w:val="000000"/>
                <w:sz w:val="21"/>
                <w:szCs w:val="21"/>
                <w:highlight w:val="none"/>
                <w:u w:val="none"/>
              </w:rPr>
            </w:pPr>
            <w:r>
              <w:rPr>
                <w:rFonts w:hint="eastAsia" w:hAnsi="宋体" w:cs="宋体"/>
                <w:color w:val="000000"/>
                <w:sz w:val="21"/>
                <w:szCs w:val="21"/>
                <w:highlight w:val="none"/>
                <w:lang w:bidi="ar"/>
              </w:rPr>
              <w:t>1000</w:t>
            </w:r>
          </w:p>
        </w:tc>
        <w:tc>
          <w:tcPr>
            <w:tcW w:w="96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0F95BE1">
            <w:pPr>
              <w:keepNext w:val="0"/>
              <w:keepLines w:val="0"/>
              <w:widowControl/>
              <w:suppressLineNumbers w:val="0"/>
              <w:jc w:val="right"/>
              <w:rPr>
                <w:rFonts w:hint="eastAsia" w:ascii="宋体" w:hAnsi="宋体" w:eastAsia="宋体" w:cs="宋体"/>
                <w:i w:val="0"/>
                <w:color w:val="000000"/>
                <w:sz w:val="21"/>
                <w:szCs w:val="21"/>
                <w:highlight w:val="none"/>
                <w:u w:val="none"/>
                <w:lang w:val="en-US" w:eastAsia="zh-CN" w:bidi="ar"/>
              </w:rPr>
            </w:pPr>
          </w:p>
        </w:tc>
      </w:tr>
      <w:tr w14:paraId="7348FAC5">
        <w:tblPrEx>
          <w:tblCellMar>
            <w:top w:w="15" w:type="dxa"/>
            <w:left w:w="15" w:type="dxa"/>
            <w:bottom w:w="0" w:type="dxa"/>
            <w:right w:w="15" w:type="dxa"/>
          </w:tblCellMar>
        </w:tblPrEx>
        <w:trPr>
          <w:trHeight w:val="2990" w:hRule="atLeast"/>
        </w:trPr>
        <w:tc>
          <w:tcPr>
            <w:tcW w:w="800" w:type="dxa"/>
            <w:tcBorders>
              <w:top w:val="single" w:color="000000" w:sz="4" w:space="0"/>
              <w:left w:val="single" w:color="000000" w:sz="8" w:space="0"/>
              <w:bottom w:val="single" w:color="000000" w:sz="4" w:space="0"/>
              <w:right w:val="single" w:color="000000" w:sz="4" w:space="0"/>
            </w:tcBorders>
            <w:noWrap w:val="0"/>
            <w:tcMar>
              <w:top w:w="15" w:type="dxa"/>
              <w:left w:w="15" w:type="dxa"/>
              <w:right w:w="15" w:type="dxa"/>
            </w:tcMar>
            <w:vAlign w:val="center"/>
          </w:tcPr>
          <w:p w14:paraId="710F4D6A">
            <w:pPr>
              <w:keepNext w:val="0"/>
              <w:keepLines w:val="0"/>
              <w:widowControl/>
              <w:suppressLineNumbers w:val="0"/>
              <w:jc w:val="center"/>
              <w:rPr>
                <w:rFonts w:hint="eastAsia" w:ascii="宋体" w:hAnsi="宋体" w:eastAsia="宋体" w:cs="宋体"/>
                <w:i w:val="0"/>
                <w:color w:val="000000"/>
                <w:sz w:val="21"/>
                <w:szCs w:val="21"/>
                <w:highlight w:val="none"/>
                <w:u w:val="none"/>
              </w:rPr>
            </w:pPr>
            <w:r>
              <w:rPr>
                <w:rFonts w:hint="eastAsia" w:ascii="宋体" w:hAnsi="宋体" w:eastAsia="宋体" w:cs="宋体"/>
                <w:i w:val="0"/>
                <w:color w:val="000000"/>
                <w:sz w:val="21"/>
                <w:szCs w:val="21"/>
                <w:highlight w:val="none"/>
                <w:u w:val="none"/>
                <w:lang w:val="en-US" w:eastAsia="zh-CN" w:bidi="ar"/>
              </w:rPr>
              <w:t>3</w:t>
            </w:r>
          </w:p>
        </w:tc>
        <w:tc>
          <w:tcPr>
            <w:tcW w:w="204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028DE86">
            <w:pPr>
              <w:widowControl/>
              <w:jc w:val="center"/>
              <w:rPr>
                <w:rFonts w:hint="eastAsia" w:ascii="宋体" w:hAnsi="宋体" w:eastAsia="宋体" w:cs="宋体"/>
                <w:i w:val="0"/>
                <w:color w:val="000000"/>
                <w:sz w:val="21"/>
                <w:szCs w:val="21"/>
                <w:highlight w:val="none"/>
                <w:u w:val="none"/>
              </w:rPr>
            </w:pPr>
            <w:r>
              <w:rPr>
                <w:rFonts w:hint="eastAsia" w:hAnsi="宋体" w:cs="宋体"/>
                <w:color w:val="000000"/>
                <w:sz w:val="21"/>
                <w:szCs w:val="21"/>
                <w:highlight w:val="none"/>
                <w:lang w:bidi="ar"/>
              </w:rPr>
              <w:t>钢筋混凝土构件拆除（机械整体拆除框架结构）</w:t>
            </w:r>
          </w:p>
        </w:tc>
        <w:tc>
          <w:tcPr>
            <w:tcW w:w="316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671F2C2">
            <w:pPr>
              <w:widowControl/>
              <w:jc w:val="left"/>
              <w:rPr>
                <w:rFonts w:hint="eastAsia" w:hAnsi="宋体" w:eastAsia="宋体" w:cs="宋体"/>
                <w:color w:val="000000"/>
                <w:sz w:val="21"/>
                <w:szCs w:val="21"/>
                <w:highlight w:val="none"/>
                <w:lang w:eastAsia="zh-CN" w:bidi="ar"/>
              </w:rPr>
            </w:pPr>
            <w:r>
              <w:rPr>
                <w:rFonts w:hint="eastAsia" w:hAnsi="宋体" w:cs="宋体"/>
                <w:color w:val="000000"/>
                <w:sz w:val="21"/>
                <w:szCs w:val="21"/>
                <w:highlight w:val="none"/>
                <w:lang w:bidi="ar"/>
              </w:rPr>
              <w:t>1、结构形式：机械整体拆除框架结构、屋面形式综合考虑</w:t>
            </w:r>
          </w:p>
          <w:p w14:paraId="50A11FD2">
            <w:pPr>
              <w:widowControl/>
              <w:jc w:val="left"/>
              <w:rPr>
                <w:rFonts w:hint="eastAsia" w:hAnsi="宋体" w:eastAsia="宋体" w:cs="宋体"/>
                <w:color w:val="000000"/>
                <w:sz w:val="21"/>
                <w:szCs w:val="21"/>
                <w:highlight w:val="none"/>
                <w:lang w:eastAsia="zh-CN" w:bidi="ar"/>
              </w:rPr>
            </w:pPr>
            <w:r>
              <w:rPr>
                <w:rFonts w:hint="eastAsia" w:hAnsi="宋体" w:cs="宋体"/>
                <w:color w:val="000000"/>
                <w:sz w:val="21"/>
                <w:szCs w:val="21"/>
                <w:highlight w:val="none"/>
                <w:lang w:bidi="ar"/>
              </w:rPr>
              <w:t>2、工程量计量：整体拆除按建筑面积以m2计算</w:t>
            </w:r>
          </w:p>
          <w:p w14:paraId="71FA1BE5">
            <w:pPr>
              <w:widowControl/>
              <w:jc w:val="left"/>
              <w:rPr>
                <w:rFonts w:hint="eastAsia" w:hAnsi="宋体" w:eastAsia="宋体" w:cs="宋体"/>
                <w:color w:val="000000"/>
                <w:sz w:val="21"/>
                <w:szCs w:val="21"/>
                <w:highlight w:val="none"/>
                <w:lang w:eastAsia="zh-CN" w:bidi="ar"/>
              </w:rPr>
            </w:pPr>
            <w:r>
              <w:rPr>
                <w:rFonts w:hint="eastAsia" w:hAnsi="宋体" w:cs="宋体"/>
                <w:color w:val="000000"/>
                <w:sz w:val="21"/>
                <w:szCs w:val="21"/>
                <w:highlight w:val="none"/>
                <w:lang w:bidi="ar"/>
              </w:rPr>
              <w:t>3、拆除内容：全部建筑物拆除、破碎、渣土原地清理归堆，堆放至指定位置</w:t>
            </w:r>
          </w:p>
          <w:p w14:paraId="74B15D41">
            <w:pPr>
              <w:widowControl/>
              <w:jc w:val="left"/>
              <w:rPr>
                <w:rFonts w:hint="eastAsia" w:ascii="宋体" w:hAnsi="宋体" w:eastAsia="宋体" w:cs="宋体"/>
                <w:i w:val="0"/>
                <w:color w:val="000000"/>
                <w:sz w:val="21"/>
                <w:szCs w:val="21"/>
                <w:highlight w:val="none"/>
                <w:u w:val="none"/>
              </w:rPr>
            </w:pPr>
            <w:r>
              <w:rPr>
                <w:rFonts w:hint="eastAsia" w:hAnsi="宋体" w:cs="宋体"/>
                <w:color w:val="000000"/>
                <w:sz w:val="21"/>
                <w:szCs w:val="21"/>
                <w:highlight w:val="none"/>
                <w:lang w:bidi="ar"/>
              </w:rPr>
              <w:t>4、拆除机械、拆除脚手架、机械进出场费等由施工单位综合考虑</w:t>
            </w:r>
          </w:p>
        </w:tc>
        <w:tc>
          <w:tcPr>
            <w:tcW w:w="85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D227301">
            <w:pPr>
              <w:widowControl/>
              <w:jc w:val="center"/>
              <w:rPr>
                <w:rFonts w:hint="eastAsia" w:ascii="宋体" w:hAnsi="宋体" w:eastAsia="宋体" w:cs="宋体"/>
                <w:i w:val="0"/>
                <w:color w:val="000000"/>
                <w:sz w:val="21"/>
                <w:szCs w:val="21"/>
                <w:highlight w:val="none"/>
                <w:u w:val="none"/>
              </w:rPr>
            </w:pPr>
            <w:r>
              <w:rPr>
                <w:rFonts w:hint="eastAsia" w:hAnsi="宋体" w:cs="宋体"/>
                <w:color w:val="000000"/>
                <w:sz w:val="21"/>
                <w:szCs w:val="21"/>
                <w:highlight w:val="none"/>
                <w:lang w:val="en-US" w:eastAsia="zh-CN" w:bidi="ar"/>
              </w:rPr>
              <w:t>平方米</w:t>
            </w:r>
          </w:p>
        </w:tc>
        <w:tc>
          <w:tcPr>
            <w:tcW w:w="1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2375EAF">
            <w:pPr>
              <w:widowControl/>
              <w:jc w:val="center"/>
              <w:rPr>
                <w:rFonts w:hint="eastAsia" w:ascii="宋体" w:hAnsi="宋体" w:eastAsia="宋体" w:cs="宋体"/>
                <w:i w:val="0"/>
                <w:color w:val="000000"/>
                <w:sz w:val="21"/>
                <w:szCs w:val="21"/>
                <w:highlight w:val="none"/>
                <w:u w:val="none"/>
              </w:rPr>
            </w:pPr>
            <w:r>
              <w:rPr>
                <w:rFonts w:hint="eastAsia" w:hAnsi="宋体" w:cs="宋体"/>
                <w:color w:val="000000"/>
                <w:sz w:val="21"/>
                <w:szCs w:val="21"/>
                <w:highlight w:val="none"/>
                <w:lang w:bidi="ar"/>
              </w:rPr>
              <w:t>3000</w:t>
            </w:r>
          </w:p>
        </w:tc>
        <w:tc>
          <w:tcPr>
            <w:tcW w:w="96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4B2AFE2">
            <w:pPr>
              <w:keepNext w:val="0"/>
              <w:keepLines w:val="0"/>
              <w:widowControl/>
              <w:suppressLineNumbers w:val="0"/>
              <w:jc w:val="right"/>
              <w:rPr>
                <w:rFonts w:hint="eastAsia" w:ascii="宋体" w:hAnsi="宋体" w:eastAsia="宋体" w:cs="宋体"/>
                <w:i w:val="0"/>
                <w:color w:val="000000"/>
                <w:sz w:val="21"/>
                <w:szCs w:val="21"/>
                <w:highlight w:val="none"/>
                <w:u w:val="none"/>
                <w:lang w:val="en-US" w:eastAsia="zh-CN" w:bidi="ar"/>
              </w:rPr>
            </w:pPr>
          </w:p>
        </w:tc>
      </w:tr>
      <w:tr w14:paraId="111CB82D">
        <w:tblPrEx>
          <w:tblCellMar>
            <w:top w:w="15" w:type="dxa"/>
            <w:left w:w="15" w:type="dxa"/>
            <w:bottom w:w="0" w:type="dxa"/>
            <w:right w:w="15" w:type="dxa"/>
          </w:tblCellMar>
        </w:tblPrEx>
        <w:trPr>
          <w:trHeight w:val="2703" w:hRule="atLeast"/>
        </w:trPr>
        <w:tc>
          <w:tcPr>
            <w:tcW w:w="800" w:type="dxa"/>
            <w:tcBorders>
              <w:top w:val="single" w:color="000000" w:sz="4" w:space="0"/>
              <w:left w:val="single" w:color="000000" w:sz="8" w:space="0"/>
              <w:bottom w:val="single" w:color="000000" w:sz="4" w:space="0"/>
              <w:right w:val="single" w:color="000000" w:sz="4" w:space="0"/>
            </w:tcBorders>
            <w:noWrap w:val="0"/>
            <w:tcMar>
              <w:top w:w="15" w:type="dxa"/>
              <w:left w:w="15" w:type="dxa"/>
              <w:right w:w="15" w:type="dxa"/>
            </w:tcMar>
            <w:vAlign w:val="center"/>
          </w:tcPr>
          <w:p w14:paraId="2BECB893">
            <w:pPr>
              <w:keepNext w:val="0"/>
              <w:keepLines w:val="0"/>
              <w:widowControl/>
              <w:suppressLineNumbers w:val="0"/>
              <w:jc w:val="center"/>
              <w:rPr>
                <w:rFonts w:hint="eastAsia" w:ascii="宋体" w:hAnsi="宋体" w:eastAsia="宋体" w:cs="宋体"/>
                <w:i w:val="0"/>
                <w:color w:val="000000"/>
                <w:sz w:val="21"/>
                <w:szCs w:val="21"/>
                <w:highlight w:val="none"/>
                <w:u w:val="none"/>
              </w:rPr>
            </w:pPr>
            <w:r>
              <w:rPr>
                <w:rFonts w:hint="eastAsia" w:ascii="宋体" w:hAnsi="宋体" w:eastAsia="宋体" w:cs="宋体"/>
                <w:i w:val="0"/>
                <w:color w:val="000000"/>
                <w:sz w:val="21"/>
                <w:szCs w:val="21"/>
                <w:highlight w:val="none"/>
                <w:u w:val="none"/>
                <w:lang w:val="en-US" w:eastAsia="zh-CN" w:bidi="ar"/>
              </w:rPr>
              <w:t>4</w:t>
            </w:r>
          </w:p>
        </w:tc>
        <w:tc>
          <w:tcPr>
            <w:tcW w:w="204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9428909">
            <w:pPr>
              <w:widowControl/>
              <w:jc w:val="center"/>
              <w:rPr>
                <w:rFonts w:hint="eastAsia" w:ascii="宋体" w:hAnsi="宋体" w:eastAsia="宋体" w:cs="宋体"/>
                <w:i w:val="0"/>
                <w:color w:val="000000"/>
                <w:sz w:val="21"/>
                <w:szCs w:val="21"/>
                <w:highlight w:val="none"/>
                <w:u w:val="none"/>
              </w:rPr>
            </w:pPr>
            <w:r>
              <w:rPr>
                <w:rFonts w:hint="eastAsia" w:hAnsi="宋体" w:cs="宋体"/>
                <w:color w:val="000000"/>
                <w:sz w:val="21"/>
                <w:szCs w:val="21"/>
                <w:highlight w:val="none"/>
                <w:lang w:bidi="ar"/>
              </w:rPr>
              <w:t>其他金属构件拆除（机械整体拆除）</w:t>
            </w:r>
          </w:p>
        </w:tc>
        <w:tc>
          <w:tcPr>
            <w:tcW w:w="316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E0A9B7D">
            <w:pPr>
              <w:widowControl/>
              <w:jc w:val="left"/>
              <w:rPr>
                <w:rFonts w:hint="eastAsia" w:hAnsi="宋体" w:eastAsia="宋体" w:cs="宋体"/>
                <w:color w:val="000000"/>
                <w:sz w:val="21"/>
                <w:szCs w:val="21"/>
                <w:highlight w:val="none"/>
                <w:lang w:eastAsia="zh-CN" w:bidi="ar"/>
              </w:rPr>
            </w:pPr>
            <w:r>
              <w:rPr>
                <w:rFonts w:hint="eastAsia" w:hAnsi="宋体" w:cs="宋体"/>
                <w:color w:val="000000"/>
                <w:sz w:val="21"/>
                <w:szCs w:val="21"/>
                <w:highlight w:val="none"/>
                <w:lang w:bidi="ar"/>
              </w:rPr>
              <w:t>1、金属结构违建拆除</w:t>
            </w:r>
          </w:p>
          <w:p w14:paraId="3E3A5AF8">
            <w:pPr>
              <w:widowControl/>
              <w:jc w:val="left"/>
              <w:rPr>
                <w:rFonts w:hint="eastAsia" w:hAnsi="宋体" w:eastAsia="宋体" w:cs="宋体"/>
                <w:color w:val="000000"/>
                <w:sz w:val="21"/>
                <w:szCs w:val="21"/>
                <w:highlight w:val="none"/>
                <w:lang w:eastAsia="zh-CN" w:bidi="ar"/>
              </w:rPr>
            </w:pPr>
            <w:r>
              <w:rPr>
                <w:rFonts w:hint="eastAsia" w:hAnsi="宋体" w:cs="宋体"/>
                <w:color w:val="000000"/>
                <w:sz w:val="21"/>
                <w:szCs w:val="21"/>
                <w:highlight w:val="none"/>
                <w:lang w:bidi="ar"/>
              </w:rPr>
              <w:t>2、工程量计量：整体拆除按建筑面积以m2计算</w:t>
            </w:r>
          </w:p>
          <w:p w14:paraId="07253B3B">
            <w:pPr>
              <w:widowControl/>
              <w:jc w:val="left"/>
              <w:rPr>
                <w:rFonts w:hint="eastAsia" w:hAnsi="宋体" w:eastAsia="宋体" w:cs="宋体"/>
                <w:color w:val="000000"/>
                <w:sz w:val="21"/>
                <w:szCs w:val="21"/>
                <w:highlight w:val="none"/>
                <w:lang w:eastAsia="zh-CN" w:bidi="ar"/>
              </w:rPr>
            </w:pPr>
            <w:r>
              <w:rPr>
                <w:rFonts w:hint="eastAsia" w:hAnsi="宋体" w:cs="宋体"/>
                <w:color w:val="000000"/>
                <w:sz w:val="21"/>
                <w:szCs w:val="21"/>
                <w:highlight w:val="none"/>
                <w:lang w:bidi="ar"/>
              </w:rPr>
              <w:t>3、拆除内容：全部建筑物拆除、破碎、渣土原地清理归堆，堆放至指定位置</w:t>
            </w:r>
          </w:p>
          <w:p w14:paraId="068A3BED">
            <w:pPr>
              <w:widowControl/>
              <w:jc w:val="left"/>
              <w:rPr>
                <w:rFonts w:hint="eastAsia" w:ascii="宋体" w:hAnsi="宋体" w:eastAsia="宋体" w:cs="宋体"/>
                <w:i w:val="0"/>
                <w:color w:val="000000"/>
                <w:sz w:val="21"/>
                <w:szCs w:val="21"/>
                <w:highlight w:val="none"/>
                <w:u w:val="none"/>
              </w:rPr>
            </w:pPr>
            <w:r>
              <w:rPr>
                <w:rFonts w:hint="eastAsia" w:hAnsi="宋体" w:cs="宋体"/>
                <w:color w:val="000000"/>
                <w:sz w:val="21"/>
                <w:szCs w:val="21"/>
                <w:highlight w:val="none"/>
                <w:lang w:bidi="ar"/>
              </w:rPr>
              <w:t>4、拆除机械、拆除脚手架、机械进出场费等由施工单位综合考虑</w:t>
            </w:r>
          </w:p>
        </w:tc>
        <w:tc>
          <w:tcPr>
            <w:tcW w:w="85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081E3E4">
            <w:pPr>
              <w:widowControl/>
              <w:jc w:val="center"/>
              <w:rPr>
                <w:rFonts w:hint="eastAsia" w:ascii="宋体" w:hAnsi="宋体" w:eastAsia="宋体" w:cs="宋体"/>
                <w:i w:val="0"/>
                <w:color w:val="000000"/>
                <w:sz w:val="21"/>
                <w:szCs w:val="21"/>
                <w:highlight w:val="none"/>
                <w:u w:val="none"/>
              </w:rPr>
            </w:pPr>
            <w:r>
              <w:rPr>
                <w:rFonts w:hint="eastAsia" w:hAnsi="宋体" w:cs="宋体"/>
                <w:color w:val="000000"/>
                <w:sz w:val="21"/>
                <w:szCs w:val="21"/>
                <w:highlight w:val="none"/>
                <w:lang w:val="en-US" w:eastAsia="zh-CN" w:bidi="ar"/>
              </w:rPr>
              <w:t>平方米</w:t>
            </w:r>
          </w:p>
        </w:tc>
        <w:tc>
          <w:tcPr>
            <w:tcW w:w="14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4F4615A">
            <w:pPr>
              <w:widowControl/>
              <w:jc w:val="center"/>
              <w:rPr>
                <w:rFonts w:hint="eastAsia" w:ascii="宋体" w:hAnsi="宋体" w:eastAsia="宋体" w:cs="宋体"/>
                <w:i w:val="0"/>
                <w:color w:val="000000"/>
                <w:sz w:val="21"/>
                <w:szCs w:val="21"/>
                <w:highlight w:val="none"/>
                <w:u w:val="none"/>
              </w:rPr>
            </w:pPr>
            <w:r>
              <w:rPr>
                <w:rFonts w:hint="eastAsia" w:hAnsi="宋体" w:cs="宋体"/>
                <w:color w:val="000000"/>
                <w:sz w:val="21"/>
                <w:szCs w:val="21"/>
                <w:highlight w:val="none"/>
                <w:lang w:bidi="ar"/>
              </w:rPr>
              <w:t>6185</w:t>
            </w:r>
          </w:p>
        </w:tc>
        <w:tc>
          <w:tcPr>
            <w:tcW w:w="96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40FACEF">
            <w:pPr>
              <w:keepNext w:val="0"/>
              <w:keepLines w:val="0"/>
              <w:widowControl/>
              <w:suppressLineNumbers w:val="0"/>
              <w:jc w:val="right"/>
              <w:rPr>
                <w:rFonts w:hint="eastAsia" w:ascii="宋体" w:hAnsi="宋体" w:eastAsia="宋体" w:cs="宋体"/>
                <w:i w:val="0"/>
                <w:color w:val="000000"/>
                <w:sz w:val="21"/>
                <w:szCs w:val="21"/>
                <w:highlight w:val="none"/>
                <w:u w:val="none"/>
                <w:lang w:val="en-US" w:eastAsia="zh-CN" w:bidi="ar"/>
              </w:rPr>
            </w:pPr>
          </w:p>
        </w:tc>
      </w:tr>
    </w:tbl>
    <w:p w14:paraId="2E3E0BB0">
      <w:pPr>
        <w:keepNext w:val="0"/>
        <w:keepLines w:val="0"/>
        <w:pageBreakBefore w:val="0"/>
        <w:spacing w:before="0" w:after="0" w:line="360" w:lineRule="auto"/>
        <w:ind w:firstLine="420"/>
        <w:jc w:val="both"/>
        <w:rPr>
          <w:rFonts w:hint="eastAsia" w:ascii="宋体" w:hAnsi="Times New Roman" w:eastAsia="宋体" w:cs="Times New Roman"/>
          <w:b/>
          <w:bCs/>
          <w:sz w:val="21"/>
          <w:highlight w:val="none"/>
          <w:lang w:val="en-US" w:eastAsia="zh-CN" w:bidi="ar-SA"/>
        </w:rPr>
      </w:pPr>
      <w:r>
        <w:rPr>
          <w:rFonts w:hint="eastAsia" w:ascii="宋体" w:hAnsi="Times New Roman" w:eastAsia="宋体" w:cs="Times New Roman"/>
          <w:b/>
          <w:bCs/>
          <w:sz w:val="21"/>
          <w:highlight w:val="none"/>
          <w:lang w:val="en-US" w:eastAsia="zh-CN" w:bidi="ar-SA"/>
        </w:rPr>
        <w:t>注：</w:t>
      </w:r>
      <w:r>
        <w:rPr>
          <w:rFonts w:hint="eastAsia" w:ascii="宋体" w:hAnsi="宋体" w:eastAsia="宋体" w:cs="Times New Roman"/>
          <w:b/>
          <w:bCs/>
          <w:color w:val="000000"/>
          <w:sz w:val="21"/>
          <w:szCs w:val="21"/>
          <w:highlight w:val="none"/>
          <w:lang w:val="en-US" w:eastAsia="zh-CN" w:bidi="ar-SA"/>
        </w:rPr>
        <w:t>具体按实结算，超出预算价部分不再结算。</w:t>
      </w:r>
      <w:r>
        <w:rPr>
          <w:rFonts w:hint="eastAsia" w:ascii="宋体" w:hAnsi="宋体" w:cs="Times New Roman"/>
          <w:b/>
          <w:bCs/>
          <w:color w:val="000000"/>
          <w:sz w:val="21"/>
          <w:szCs w:val="21"/>
          <w:highlight w:val="none"/>
          <w:lang w:val="en-US" w:eastAsia="zh-CN" w:bidi="ar-SA"/>
        </w:rPr>
        <w:t>（</w:t>
      </w:r>
      <w:r>
        <w:rPr>
          <w:rFonts w:hint="eastAsia" w:ascii="宋体" w:hAnsi="宋体" w:cs="宋体"/>
          <w:b/>
          <w:bCs/>
          <w:color w:val="auto"/>
          <w:sz w:val="24"/>
          <w:szCs w:val="24"/>
          <w:highlight w:val="none"/>
          <w:lang w:val="en-US" w:eastAsia="zh-CN" w:bidi="ar"/>
        </w:rPr>
        <w:t>本项目不含甲供材及主材</w:t>
      </w:r>
      <w:r>
        <w:rPr>
          <w:rFonts w:hint="eastAsia" w:ascii="宋体" w:hAnsi="宋体" w:cs="Times New Roman"/>
          <w:b/>
          <w:bCs/>
          <w:color w:val="000000"/>
          <w:sz w:val="21"/>
          <w:szCs w:val="21"/>
          <w:highlight w:val="none"/>
          <w:lang w:val="en-US" w:eastAsia="zh-CN" w:bidi="ar-SA"/>
        </w:rPr>
        <w:t>）</w:t>
      </w:r>
    </w:p>
    <w:p w14:paraId="7539544C">
      <w:pPr>
        <w:keepNext w:val="0"/>
        <w:keepLines w:val="0"/>
        <w:pageBreakBefore w:val="0"/>
        <w:widowControl/>
        <w:shd w:val="clear" w:color="auto" w:fill="FFFFFF"/>
        <w:spacing w:line="360" w:lineRule="auto"/>
        <w:jc w:val="left"/>
        <w:rPr>
          <w:rFonts w:hint="eastAsia" w:ascii="宋体" w:hAnsi="宋体" w:eastAsia="宋体" w:cs="宋体"/>
          <w:b/>
          <w:sz w:val="24"/>
          <w:szCs w:val="24"/>
          <w:highlight w:val="none"/>
        </w:rPr>
      </w:pPr>
      <w:r>
        <w:rPr>
          <w:rFonts w:hint="eastAsia" w:ascii="宋体" w:hAnsi="宋体" w:eastAsia="宋体" w:cs="宋体"/>
          <w:b/>
          <w:sz w:val="24"/>
          <w:szCs w:val="24"/>
          <w:highlight w:val="none"/>
          <w:lang w:eastAsia="zh-CN"/>
        </w:rPr>
        <w:t>六</w:t>
      </w:r>
      <w:r>
        <w:rPr>
          <w:rFonts w:hint="eastAsia" w:ascii="宋体" w:hAnsi="宋体" w:eastAsia="宋体" w:cs="宋体"/>
          <w:b/>
          <w:sz w:val="24"/>
          <w:szCs w:val="24"/>
          <w:highlight w:val="none"/>
        </w:rPr>
        <w:t>、综合说明及其他要求</w:t>
      </w:r>
    </w:p>
    <w:p w14:paraId="719EB468">
      <w:pPr>
        <w:keepNext w:val="0"/>
        <w:keepLines w:val="0"/>
        <w:pageBreakBefore w:val="0"/>
        <w:spacing w:line="360" w:lineRule="auto"/>
        <w:ind w:firstLine="480"/>
        <w:rPr>
          <w:rFonts w:ascii="宋体" w:hAnsi="宋体" w:eastAsia="宋体"/>
          <w:sz w:val="24"/>
          <w:szCs w:val="24"/>
          <w:highlight w:val="none"/>
        </w:rPr>
      </w:pPr>
      <w:r>
        <w:rPr>
          <w:rFonts w:hint="eastAsia" w:ascii="宋体" w:hAnsi="宋体" w:eastAsia="宋体"/>
          <w:sz w:val="24"/>
          <w:szCs w:val="24"/>
          <w:highlight w:val="none"/>
        </w:rPr>
        <w:t>1、</w:t>
      </w:r>
      <w:r>
        <w:rPr>
          <w:rFonts w:hint="eastAsia" w:ascii="宋体" w:hAnsi="宋体" w:eastAsia="宋体"/>
          <w:bCs/>
          <w:sz w:val="24"/>
          <w:szCs w:val="24"/>
          <w:highlight w:val="none"/>
        </w:rPr>
        <w:t>采购</w:t>
      </w:r>
      <w:r>
        <w:rPr>
          <w:rFonts w:ascii="宋体" w:hAnsi="宋体" w:eastAsia="宋体"/>
          <w:bCs/>
          <w:sz w:val="24"/>
          <w:szCs w:val="24"/>
          <w:highlight w:val="none"/>
        </w:rPr>
        <w:t>文件中所提要求为项目实施的基本技术要求，</w:t>
      </w:r>
      <w:r>
        <w:rPr>
          <w:rFonts w:hint="eastAsia" w:ascii="宋体" w:hAnsi="宋体" w:eastAsia="宋体"/>
          <w:bCs/>
          <w:sz w:val="24"/>
          <w:szCs w:val="24"/>
          <w:highlight w:val="none"/>
        </w:rPr>
        <w:t>投标供应商</w:t>
      </w:r>
      <w:r>
        <w:rPr>
          <w:rFonts w:ascii="宋体" w:hAnsi="宋体" w:eastAsia="宋体"/>
          <w:bCs/>
          <w:sz w:val="24"/>
          <w:szCs w:val="24"/>
          <w:highlight w:val="none"/>
        </w:rPr>
        <w:t>应根据</w:t>
      </w:r>
      <w:r>
        <w:rPr>
          <w:rFonts w:hint="eastAsia" w:ascii="宋体" w:hAnsi="宋体" w:eastAsia="宋体"/>
          <w:bCs/>
          <w:sz w:val="24"/>
          <w:szCs w:val="24"/>
          <w:highlight w:val="none"/>
        </w:rPr>
        <w:t>采购需</w:t>
      </w:r>
      <w:r>
        <w:rPr>
          <w:rFonts w:ascii="宋体" w:hAnsi="宋体" w:eastAsia="宋体"/>
          <w:bCs/>
          <w:sz w:val="24"/>
          <w:szCs w:val="24"/>
          <w:highlight w:val="none"/>
        </w:rPr>
        <w:t>求，提供满足本技术规范和所列标准要求的服务，对国家有关安全和环保等强制性标准，必须予以说明并满足</w:t>
      </w:r>
      <w:r>
        <w:rPr>
          <w:rFonts w:hint="eastAsia" w:ascii="宋体" w:hAnsi="宋体" w:eastAsia="宋体"/>
          <w:sz w:val="24"/>
          <w:szCs w:val="24"/>
          <w:highlight w:val="none"/>
        </w:rPr>
        <w:t>。</w:t>
      </w:r>
    </w:p>
    <w:p w14:paraId="48B08D3B">
      <w:pPr>
        <w:keepNext w:val="0"/>
        <w:keepLines w:val="0"/>
        <w:pageBreakBefore w:val="0"/>
        <w:spacing w:line="360" w:lineRule="auto"/>
        <w:ind w:firstLine="480"/>
        <w:rPr>
          <w:rFonts w:ascii="宋体" w:hAnsi="宋体" w:eastAsia="宋体"/>
          <w:sz w:val="24"/>
          <w:szCs w:val="24"/>
          <w:highlight w:val="none"/>
        </w:rPr>
      </w:pPr>
      <w:r>
        <w:rPr>
          <w:rFonts w:hint="eastAsia" w:ascii="宋体" w:hAnsi="宋体" w:eastAsia="宋体"/>
          <w:sz w:val="24"/>
          <w:szCs w:val="24"/>
          <w:highlight w:val="none"/>
        </w:rPr>
        <w:t>2、</w:t>
      </w:r>
      <w:r>
        <w:rPr>
          <w:rFonts w:hint="eastAsia" w:ascii="宋体" w:hAnsi="宋体" w:eastAsia="宋体"/>
          <w:sz w:val="24"/>
          <w:szCs w:val="24"/>
          <w:highlight w:val="none"/>
          <w:lang w:eastAsia="zh-CN"/>
        </w:rPr>
        <w:t>中标供应商</w:t>
      </w:r>
      <w:r>
        <w:rPr>
          <w:rFonts w:hint="eastAsia" w:ascii="宋体" w:hAnsi="宋体" w:eastAsia="宋体"/>
          <w:sz w:val="24"/>
          <w:szCs w:val="24"/>
          <w:highlight w:val="none"/>
        </w:rPr>
        <w:t>服务人员在服务期间因正常服务或采购人派遣的委托项目任务内造成的任何人员伤亡事故，采购人均不承担任何责任。</w:t>
      </w:r>
    </w:p>
    <w:p w14:paraId="68AEE3CF">
      <w:pPr>
        <w:keepNext w:val="0"/>
        <w:keepLines w:val="0"/>
        <w:pageBreakBefore w:val="0"/>
        <w:spacing w:line="360" w:lineRule="auto"/>
        <w:ind w:firstLine="480"/>
        <w:rPr>
          <w:rFonts w:ascii="宋体" w:hAnsi="宋体" w:eastAsia="宋体"/>
          <w:sz w:val="24"/>
          <w:szCs w:val="24"/>
          <w:highlight w:val="none"/>
        </w:rPr>
      </w:pPr>
      <w:r>
        <w:rPr>
          <w:rFonts w:ascii="宋体" w:hAnsi="宋体" w:eastAsia="宋体"/>
          <w:sz w:val="24"/>
          <w:szCs w:val="24"/>
          <w:highlight w:val="none"/>
        </w:rPr>
        <w:t>3</w:t>
      </w:r>
      <w:r>
        <w:rPr>
          <w:rFonts w:hint="eastAsia" w:ascii="宋体" w:hAnsi="宋体" w:eastAsia="宋体"/>
          <w:sz w:val="24"/>
          <w:szCs w:val="24"/>
          <w:highlight w:val="none"/>
        </w:rPr>
        <w:t>、</w:t>
      </w:r>
      <w:r>
        <w:rPr>
          <w:rFonts w:hint="eastAsia" w:ascii="宋体" w:hAnsi="宋体" w:eastAsia="宋体"/>
          <w:sz w:val="24"/>
          <w:szCs w:val="24"/>
          <w:highlight w:val="none"/>
          <w:lang w:eastAsia="zh-CN"/>
        </w:rPr>
        <w:t>中标供应商</w:t>
      </w:r>
      <w:r>
        <w:rPr>
          <w:rFonts w:hint="eastAsia" w:ascii="宋体" w:hAnsi="宋体" w:eastAsia="宋体"/>
          <w:sz w:val="24"/>
          <w:szCs w:val="24"/>
          <w:highlight w:val="none"/>
        </w:rPr>
        <w:t>应遵守安全生产的有关管理规定，严格按照安全标准组织施工，采取必要的安全防护措施，消除隐患。由于</w:t>
      </w:r>
      <w:r>
        <w:rPr>
          <w:rFonts w:hint="eastAsia" w:ascii="宋体" w:hAnsi="宋体" w:eastAsia="宋体"/>
          <w:sz w:val="24"/>
          <w:szCs w:val="24"/>
          <w:highlight w:val="none"/>
          <w:lang w:eastAsia="zh-CN"/>
        </w:rPr>
        <w:t>中标供应商</w:t>
      </w:r>
      <w:r>
        <w:rPr>
          <w:rFonts w:hint="eastAsia" w:ascii="宋体" w:hAnsi="宋体" w:eastAsia="宋体"/>
          <w:sz w:val="24"/>
          <w:szCs w:val="24"/>
          <w:highlight w:val="none"/>
        </w:rPr>
        <w:t>管理或安全措施不力造成周边环境破坏或事故的责任和因此发生的费用，由</w:t>
      </w:r>
      <w:r>
        <w:rPr>
          <w:rFonts w:hint="eastAsia" w:ascii="宋体" w:hAnsi="宋体" w:eastAsia="宋体"/>
          <w:sz w:val="24"/>
          <w:szCs w:val="24"/>
          <w:highlight w:val="none"/>
          <w:lang w:eastAsia="zh-CN"/>
        </w:rPr>
        <w:t>中标供应商</w:t>
      </w:r>
      <w:r>
        <w:rPr>
          <w:rFonts w:hint="eastAsia" w:ascii="宋体" w:hAnsi="宋体" w:eastAsia="宋体"/>
          <w:sz w:val="24"/>
          <w:szCs w:val="24"/>
          <w:highlight w:val="none"/>
        </w:rPr>
        <w:t>承担。</w:t>
      </w:r>
    </w:p>
    <w:p w14:paraId="10041044">
      <w:pPr>
        <w:keepNext w:val="0"/>
        <w:keepLines w:val="0"/>
        <w:pageBreakBefore w:val="0"/>
        <w:spacing w:line="360" w:lineRule="auto"/>
        <w:ind w:firstLine="480"/>
        <w:rPr>
          <w:rFonts w:ascii="宋体" w:hAnsi="宋体" w:eastAsia="宋体"/>
          <w:sz w:val="24"/>
          <w:szCs w:val="24"/>
          <w:highlight w:val="none"/>
        </w:rPr>
      </w:pPr>
      <w:r>
        <w:rPr>
          <w:rFonts w:ascii="宋体" w:hAnsi="宋体" w:eastAsia="宋体"/>
          <w:sz w:val="24"/>
          <w:szCs w:val="24"/>
          <w:highlight w:val="none"/>
        </w:rPr>
        <w:t>4</w:t>
      </w:r>
      <w:r>
        <w:rPr>
          <w:rFonts w:hint="eastAsia" w:ascii="宋体" w:hAnsi="宋体" w:eastAsia="宋体"/>
          <w:sz w:val="24"/>
          <w:szCs w:val="24"/>
          <w:highlight w:val="none"/>
        </w:rPr>
        <w:t>、</w:t>
      </w:r>
      <w:r>
        <w:rPr>
          <w:rFonts w:hint="eastAsia" w:ascii="宋体" w:hAnsi="宋体" w:eastAsia="宋体"/>
          <w:sz w:val="24"/>
          <w:szCs w:val="24"/>
          <w:highlight w:val="none"/>
          <w:lang w:eastAsia="zh-CN"/>
        </w:rPr>
        <w:t>中标供应商</w:t>
      </w:r>
      <w:r>
        <w:rPr>
          <w:rFonts w:hint="eastAsia" w:ascii="宋体" w:hAnsi="宋体" w:eastAsia="宋体"/>
          <w:sz w:val="24"/>
          <w:szCs w:val="24"/>
          <w:highlight w:val="none"/>
        </w:rPr>
        <w:t>应按照采购人的要求，及时更换不能胜任工作的工作人员；负责处理合同服务期内所有劳资纠纷和调解管理纠纷；落实</w:t>
      </w:r>
      <w:r>
        <w:rPr>
          <w:rFonts w:hint="eastAsia" w:ascii="宋体" w:hAnsi="宋体" w:eastAsia="宋体"/>
          <w:bCs/>
          <w:sz w:val="24"/>
          <w:szCs w:val="24"/>
          <w:highlight w:val="none"/>
        </w:rPr>
        <w:t>采购人</w:t>
      </w:r>
      <w:r>
        <w:rPr>
          <w:rFonts w:hint="eastAsia" w:ascii="宋体" w:hAnsi="宋体" w:eastAsia="宋体"/>
          <w:sz w:val="24"/>
          <w:szCs w:val="24"/>
          <w:highlight w:val="none"/>
        </w:rPr>
        <w:t>根据规章制度和工作需要提出的其他管理要求，并向采购人提供相关证明材料备案。</w:t>
      </w:r>
    </w:p>
    <w:p w14:paraId="07C8CD6A">
      <w:pPr>
        <w:keepNext w:val="0"/>
        <w:keepLines w:val="0"/>
        <w:pageBreakBefore w:val="0"/>
        <w:spacing w:line="360" w:lineRule="auto"/>
        <w:ind w:firstLine="480"/>
        <w:rPr>
          <w:rFonts w:ascii="宋体" w:hAnsi="宋体" w:eastAsia="宋体"/>
          <w:sz w:val="24"/>
          <w:szCs w:val="24"/>
          <w:highlight w:val="none"/>
        </w:rPr>
      </w:pPr>
      <w:r>
        <w:rPr>
          <w:rFonts w:ascii="宋体" w:hAnsi="宋体" w:eastAsia="宋体"/>
          <w:sz w:val="24"/>
          <w:szCs w:val="24"/>
          <w:highlight w:val="none"/>
        </w:rPr>
        <w:t>5</w:t>
      </w:r>
      <w:r>
        <w:rPr>
          <w:rFonts w:hint="eastAsia" w:ascii="宋体" w:hAnsi="宋体" w:eastAsia="宋体"/>
          <w:sz w:val="24"/>
          <w:szCs w:val="24"/>
          <w:highlight w:val="none"/>
        </w:rPr>
        <w:t>、</w:t>
      </w:r>
      <w:r>
        <w:rPr>
          <w:rFonts w:hint="eastAsia" w:ascii="宋体" w:hAnsi="宋体" w:eastAsia="宋体"/>
          <w:sz w:val="24"/>
          <w:szCs w:val="24"/>
          <w:highlight w:val="none"/>
          <w:lang w:eastAsia="zh-CN"/>
        </w:rPr>
        <w:t>中标供应商</w:t>
      </w:r>
      <w:r>
        <w:rPr>
          <w:rFonts w:hint="eastAsia" w:ascii="宋体" w:hAnsi="宋体" w:eastAsia="宋体"/>
          <w:sz w:val="24"/>
          <w:szCs w:val="24"/>
          <w:highlight w:val="none"/>
        </w:rPr>
        <w:t>须负责该项目作业人员的人事、劳资、办理社会保险和商业保险、计生等人事劳资管理工作，并提供为该项目人员办理劳动用工手续、结算发放工资、发放经济补偿金、缴纳社会保险、处理保险理赔、管理人事档案等方面的管理服务；负责处理合同服务期内所有劳资纠纷和调解管理纠纷。</w:t>
      </w:r>
    </w:p>
    <w:p w14:paraId="147D099F">
      <w:pPr>
        <w:keepNext w:val="0"/>
        <w:keepLines w:val="0"/>
        <w:pageBreakBefore w:val="0"/>
        <w:spacing w:line="360" w:lineRule="auto"/>
        <w:ind w:firstLine="480"/>
        <w:rPr>
          <w:rFonts w:hint="eastAsia" w:ascii="宋体" w:hAnsi="宋体" w:eastAsia="宋体"/>
          <w:sz w:val="24"/>
          <w:szCs w:val="24"/>
          <w:highlight w:val="none"/>
        </w:rPr>
      </w:pPr>
      <w:r>
        <w:rPr>
          <w:rFonts w:ascii="宋体" w:hAnsi="宋体" w:eastAsia="宋体"/>
          <w:sz w:val="24"/>
          <w:szCs w:val="24"/>
          <w:highlight w:val="none"/>
        </w:rPr>
        <w:t>6</w:t>
      </w:r>
      <w:r>
        <w:rPr>
          <w:rFonts w:hint="eastAsia" w:ascii="宋体" w:hAnsi="宋体" w:eastAsia="宋体"/>
          <w:sz w:val="24"/>
          <w:szCs w:val="24"/>
          <w:highlight w:val="none"/>
        </w:rPr>
        <w:t>、投标供应商必须承诺投标文件中提出的全部技术规格与要求，如果以其中某些条款不响应时，应在文件中逐条列出，未列出的视同响应。投标单位提供的材料如有虚假，视为不实质性响应招标文件要求，已中标的取消其中标资格，并按《政府采购货物和服务招标投标管理办法》第七十四条“提供虚假材料谋取中标”相关处理办法处理。</w:t>
      </w:r>
    </w:p>
    <w:p w14:paraId="554BB1D4">
      <w:pPr>
        <w:keepNext w:val="0"/>
        <w:keepLines w:val="0"/>
        <w:pageBreakBefore w:val="0"/>
        <w:spacing w:line="360" w:lineRule="auto"/>
        <w:ind w:firstLine="480"/>
        <w:rPr>
          <w:rFonts w:hint="eastAsia" w:ascii="宋体" w:hAnsi="宋体" w:eastAsia="宋体"/>
          <w:sz w:val="24"/>
          <w:szCs w:val="24"/>
          <w:highlight w:val="none"/>
        </w:rPr>
      </w:pPr>
      <w:r>
        <w:rPr>
          <w:rFonts w:hint="eastAsia" w:ascii="宋体" w:hAnsi="宋体" w:eastAsia="宋体"/>
          <w:sz w:val="24"/>
          <w:szCs w:val="24"/>
          <w:highlight w:val="none"/>
        </w:rPr>
        <w:t>7、本项目为依法保护性拆除。拆除工作开始前由施工方对拆除场地进行勘查，将场地内便于搬卸的物品进行人工搬运，不便于搬运的大型机械做简易保护处理，确保拆违过程中的业主合法财产安全。拆除材料回收由业主单位自行处理。</w:t>
      </w:r>
    </w:p>
    <w:p w14:paraId="68551DD0">
      <w:pPr>
        <w:keepNext w:val="0"/>
        <w:keepLines w:val="0"/>
        <w:pageBreakBefore w:val="0"/>
        <w:spacing w:line="360" w:lineRule="auto"/>
        <w:ind w:firstLine="480"/>
        <w:rPr>
          <w:rFonts w:hint="default" w:ascii="宋体" w:hAnsi="宋体" w:eastAsia="宋体"/>
          <w:sz w:val="24"/>
          <w:szCs w:val="24"/>
          <w:highlight w:val="none"/>
          <w:lang w:val="en-US" w:eastAsia="zh-CN"/>
        </w:rPr>
      </w:pPr>
      <w:r>
        <w:rPr>
          <w:rFonts w:hint="eastAsia" w:ascii="宋体" w:hAnsi="宋体"/>
          <w:sz w:val="24"/>
          <w:szCs w:val="24"/>
          <w:highlight w:val="none"/>
          <w:lang w:val="en-US" w:eastAsia="zh-CN"/>
        </w:rPr>
        <w:t>8、本项目无履约保证金。</w:t>
      </w:r>
    </w:p>
    <w:p w14:paraId="48CB38E6">
      <w:pPr>
        <w:rPr>
          <w:highlight w:val="none"/>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moder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AF17CCF"/>
    <w:rsid w:val="2B415BBA"/>
    <w:rsid w:val="2CA45F19"/>
    <w:rsid w:val="3324370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hint="default" w:ascii="Times New Roman" w:hAnsi="Times New Roman" w:eastAsia="宋体" w:cs="Times New Roman"/>
      <w:sz w:val="21"/>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customStyle="1" w:styleId="2">
    <w:name w:val="段"/>
    <w:next w:val="1"/>
    <w:qFormat/>
    <w:uiPriority w:val="0"/>
    <w:pPr>
      <w:ind w:firstLine="200"/>
      <w:jc w:val="both"/>
    </w:pPr>
    <w:rPr>
      <w:rFonts w:hint="default" w:ascii="宋体" w:hAnsi="Times New Roman" w:eastAsia="宋体" w:cs="Times New Roman"/>
      <w:sz w:val="21"/>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3079</Words>
  <Characters>3116</Characters>
  <Lines>0</Lines>
  <Paragraphs>0</Paragraphs>
  <TotalTime>0</TotalTime>
  <ScaleCrop>false</ScaleCrop>
  <LinksUpToDate>false</LinksUpToDate>
  <CharactersWithSpaces>3117</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2025-06-25T06:09:00Z</dcterms:created>
  <dc:creator>WIN 10</dc:creator>
  <cp:lastModifiedBy>merlin</cp:lastModifiedBy>
  <dcterms:modified xsi:type="dcterms:W3CDTF">2025-06-30T07:28:27Z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KSOTemplateDocerSaveRecord">
    <vt:lpwstr>eyJoZGlkIjoiMzEwNTM5NzYwMDRjMzkwZTVkZjY2ODkwMGIxNGU0OTUiLCJ1c2VySWQiOiIyMzMzNjc5MjcifQ==</vt:lpwstr>
  </property>
  <property fmtid="{D5CDD505-2E9C-101B-9397-08002B2CF9AE}" pid="4" name="ICV">
    <vt:lpwstr>3B97393EA92845EBBDD9D7224FD4AC07_13</vt:lpwstr>
  </property>
</Properties>
</file>