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F85E9">
      <w:pPr>
        <w:spacing w:line="360" w:lineRule="auto"/>
        <w:jc w:val="center"/>
        <w:rPr>
          <w:rFonts w:ascii="黑体" w:eastAsia="黑体"/>
          <w:bCs/>
          <w:sz w:val="30"/>
          <w:szCs w:val="30"/>
        </w:rPr>
      </w:pPr>
      <w:bookmarkStart w:id="0" w:name="_GoBack"/>
      <w:bookmarkEnd w:id="0"/>
      <w:r>
        <w:rPr>
          <w:rFonts w:hint="eastAsia" w:ascii="黑体" w:eastAsia="黑体"/>
          <w:b/>
          <w:sz w:val="30"/>
          <w:szCs w:val="30"/>
        </w:rPr>
        <w:t>采购需求</w:t>
      </w:r>
    </w:p>
    <w:p w14:paraId="10DFD632">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一、采购标的需实现的功能或者目标，以及为落实政府采购政策需满足的要求</w:t>
      </w:r>
    </w:p>
    <w:p w14:paraId="3AECFC0A">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违法车辆拖移：为做好道路交通管理工作，城管部门将依法对道路违法停放车辆进行拖移。此次招标通过政府购买服务的形式，确定有资质的社会清障力量做好专项整治、大型活动的拖移工作。</w:t>
      </w:r>
    </w:p>
    <w:p w14:paraId="743FA22A">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二、采购标的需执行的国家相关标准、行业标准、地方标准或者其他标准、规范</w:t>
      </w:r>
    </w:p>
    <w:p w14:paraId="518A6D85">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此次采购根据《中华人民共和国道路交通安全法》《中华人民共和国道路交通安全法实施条例》《中华人民共和国行政强制法》《中华人民共和国政府采购法》等法律法规。</w:t>
      </w:r>
    </w:p>
    <w:p w14:paraId="7E71CC35">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三、采购标的需满足的质量、安全、技术规格、物理特性等要求</w:t>
      </w:r>
    </w:p>
    <w:p w14:paraId="2AC72CC6">
      <w:pPr>
        <w:widowControl/>
        <w:tabs>
          <w:tab w:val="left" w:pos="1260"/>
        </w:tabs>
        <w:spacing w:line="360" w:lineRule="auto"/>
        <w:ind w:firstLine="480"/>
        <w:rPr>
          <w:rFonts w:hint="eastAsia" w:ascii="宋体" w:hAnsi="宋体" w:cs="宋体"/>
          <w:sz w:val="24"/>
          <w:szCs w:val="24"/>
        </w:rPr>
      </w:pPr>
      <w:r>
        <w:rPr>
          <w:rFonts w:hint="eastAsia" w:hAnsi="宋体" w:cs="宋体"/>
          <w:sz w:val="24"/>
          <w:szCs w:val="24"/>
        </w:rPr>
        <w:t>1</w:t>
      </w:r>
      <w:r>
        <w:rPr>
          <w:rFonts w:hint="eastAsia" w:ascii="宋体" w:hAnsi="宋体" w:cs="宋体"/>
          <w:sz w:val="24"/>
          <w:szCs w:val="24"/>
        </w:rPr>
        <w:t>、投标人提供的车辆应当具有合法、完备的证照，不得提供报废、非法车辆参与清障作业，保证车况良好并配备足够、完好的交通清障辅助设备及通信工具。大中型专项作业车（含）以上车型还需增配消防器材、破拆工具等设备，以确保清障能力与通信畅通。</w:t>
      </w:r>
    </w:p>
    <w:p w14:paraId="516736F5">
      <w:pPr>
        <w:widowControl/>
        <w:tabs>
          <w:tab w:val="left" w:pos="1260"/>
        </w:tabs>
        <w:spacing w:line="360" w:lineRule="auto"/>
        <w:ind w:firstLine="480"/>
        <w:rPr>
          <w:rFonts w:hint="eastAsia" w:ascii="宋体" w:hAnsi="宋体" w:cs="宋体"/>
          <w:sz w:val="24"/>
          <w:szCs w:val="24"/>
        </w:rPr>
      </w:pPr>
      <w:r>
        <w:rPr>
          <w:rFonts w:hint="eastAsia" w:hAnsi="宋体" w:cs="宋体"/>
          <w:sz w:val="24"/>
          <w:szCs w:val="24"/>
        </w:rPr>
        <w:t>2</w:t>
      </w:r>
      <w:r>
        <w:rPr>
          <w:rFonts w:hint="eastAsia" w:ascii="宋体" w:hAnsi="宋体" w:cs="宋体"/>
          <w:sz w:val="24"/>
          <w:szCs w:val="24"/>
        </w:rPr>
        <w:t>、投标人提供的车辆必须购买相应的保险，除交强险外，还应购买保险理赔金额不少于50万的第三者责任险；在中标后签订合同前必须提供不少于50万的公共责任险。以上保险必须确保合同期内持续有效。</w:t>
      </w:r>
    </w:p>
    <w:p w14:paraId="07DE324B">
      <w:pPr>
        <w:widowControl/>
        <w:tabs>
          <w:tab w:val="left" w:pos="1260"/>
        </w:tabs>
        <w:spacing w:line="360" w:lineRule="auto"/>
        <w:ind w:firstLine="480"/>
        <w:rPr>
          <w:rFonts w:hint="eastAsia" w:ascii="宋体" w:hAnsi="宋体" w:cs="宋体"/>
          <w:sz w:val="24"/>
          <w:szCs w:val="24"/>
        </w:rPr>
      </w:pPr>
      <w:r>
        <w:rPr>
          <w:rFonts w:hint="eastAsia" w:hAnsi="宋体" w:cs="宋体"/>
          <w:sz w:val="24"/>
          <w:szCs w:val="24"/>
        </w:rPr>
        <w:t>3</w:t>
      </w:r>
      <w:r>
        <w:rPr>
          <w:rFonts w:hint="eastAsia" w:ascii="宋体" w:hAnsi="宋体" w:cs="宋体"/>
          <w:sz w:val="24"/>
          <w:szCs w:val="24"/>
        </w:rPr>
        <w:t>、投标人提供的车辆在中标后签订合同前必须安装行车记录仪（前后都有），满足日间、夜晚的记录要求，能清晰摄录从将暂扣车辆拖移至指定停车场并移交完毕的整个过程，摄录数据至少保存45天。</w:t>
      </w:r>
    </w:p>
    <w:p w14:paraId="2A7B903C">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四、采购标的需满足的服务标准、期限、效率等要求</w:t>
      </w:r>
    </w:p>
    <w:p w14:paraId="758095BA">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此次招标的项目服务期限为合同签订生效后一年。</w:t>
      </w:r>
    </w:p>
    <w:p w14:paraId="737BEE07">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1、投标人提供全天24小时的清障保障，接清障通知30分钟内到达。</w:t>
      </w:r>
    </w:p>
    <w:p w14:paraId="47260446">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2、投标人在执行值守和重大活动保障任务期间，要自觉服从城管部门的工作指令，及时快速做好现场处置工作。</w:t>
      </w:r>
    </w:p>
    <w:p w14:paraId="620588A8">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3、清障人员要熟悉各类型车辆性能，掌握操作规范，注意人员财产安全。现场作业时必须严格遵守道路交通管理规定，不得因作业而影响交通、造成交通堵塞或损坏市政设施。</w:t>
      </w:r>
    </w:p>
    <w:p w14:paraId="3BF1223F">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4、清障作业人员应服从现场指挥。清障作业时，必须有城管在场并取得委托（中标人必须全程应用清障交接管理系统开展工作）。</w:t>
      </w:r>
    </w:p>
    <w:p w14:paraId="2CA8B542">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5、投标人应按照规定的程序及规范处置被清障车辆的随车物品，未经同意，不得进入被拖车辆的车辆内部（包括驾驶乘坐舱以及车尾厢等）。</w:t>
      </w:r>
    </w:p>
    <w:p w14:paraId="34DE319B">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6、在作业过程中，产生的自身（车辆、人员）或给第三方造成的损失的，由供应商全权负责，与采购人无关。</w:t>
      </w:r>
    </w:p>
    <w:p w14:paraId="552861FC">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7、投标人需提交针对本项目的服务方案（包括人员安排、队伍管理、规章制度、工作措施、服务承诺等）。</w:t>
      </w:r>
    </w:p>
    <w:p w14:paraId="6BDD0BF4">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五、本项目采购标的数量、采购项目交付或者实施的时间和地点要求：</w:t>
      </w:r>
    </w:p>
    <w:p w14:paraId="5FE01A4D">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1、采购标的数量：服务期内的拖车整治项目，详见采购文件。</w:t>
      </w:r>
    </w:p>
    <w:p w14:paraId="662E9E9F">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2、实施时间：1年。</w:t>
      </w:r>
    </w:p>
    <w:p w14:paraId="25B49F32">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 xml:space="preserve">3、实施地点：无锡市新吴区鸿山街道范围内。 </w:t>
      </w:r>
    </w:p>
    <w:p w14:paraId="71BB76C4">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六、本项目验收标准：按国家现行法律法规的要求进行验收。</w:t>
      </w:r>
    </w:p>
    <w:p w14:paraId="73D344E1">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七、其他技术、服务要求：</w:t>
      </w:r>
    </w:p>
    <w:p w14:paraId="00C3F4EE">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1）车辆在拖吊过程中丢失、损坏等情况，拖车公司要按照有关标准对车辆所有人损失进行赔偿。</w:t>
      </w:r>
    </w:p>
    <w:p w14:paraId="6BFB9AB6">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2）停车场需妥善保管停放车辆，如因看护不当造成损坏，由拖车公司与车主协商解决赔偿事宜，一切责任与甲方无关。</w:t>
      </w:r>
    </w:p>
    <w:p w14:paraId="271DC1AF">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3）拖车人员或其他人员盗取拖吊车辆或车内汽油、柴油等燃料的，一经发现，将按照《中华人民共和国治安管理处罚法》有关规定予以处罚，构成刑事犯罪的，将追究有关人员刑事责任。</w:t>
      </w:r>
    </w:p>
    <w:p w14:paraId="43061744">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4）未经甲方允许而私放扣留车辆，造成城管部门无法调查取证或当事人损失的，将追究有关人员责任。</w:t>
      </w:r>
    </w:p>
    <w:p w14:paraId="3D868776">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5）拖车公司发生下列情形或实施行为之一的，甲方可单方面解除拖车合同。</w:t>
      </w:r>
    </w:p>
    <w:p w14:paraId="1D87BC9E">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a.拖车设备、车辆、人员、场地等不符合本规范规定，经指出后未在规定时间内整改不到位的；</w:t>
      </w:r>
    </w:p>
    <w:p w14:paraId="0C9E8EE7">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b.经营状况严重恶化，难以履行合同的；</w:t>
      </w:r>
    </w:p>
    <w:p w14:paraId="7395085C">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c.转移财产，抽逃资金，逃避有关债务的；</w:t>
      </w:r>
    </w:p>
    <w:p w14:paraId="34E2C2E4">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d.违规收费，收费不开、少开或虚开票据牟取非法利益的；</w:t>
      </w:r>
    </w:p>
    <w:p w14:paraId="0F854B85">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e.转包拖车业务和拖车路段的；</w:t>
      </w:r>
    </w:p>
    <w:p w14:paraId="7EA220E9">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f.违反法律法规及大队有关规定擅自处理被拖车辆及随车物品的；</w:t>
      </w:r>
    </w:p>
    <w:p w14:paraId="2AAA0DE7">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g.不按规定要求拖车，造成人员伤亡或车辆、货物重大损失或发生责任事故、事件无能力或不及时解决损害赔偿问题的；</w:t>
      </w:r>
    </w:p>
    <w:p w14:paraId="4197F619">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h.拖车公司内部管理混乱，形象不佳，社会影响恶劣的；</w:t>
      </w:r>
    </w:p>
    <w:p w14:paraId="4C3262D1">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i.未经批准，超出辖区范围、合同约定范围开展拖车工作，造成后果的；</w:t>
      </w:r>
    </w:p>
    <w:p w14:paraId="5B16181A">
      <w:pPr>
        <w:widowControl/>
        <w:tabs>
          <w:tab w:val="left" w:pos="1260"/>
        </w:tabs>
        <w:spacing w:line="360" w:lineRule="auto"/>
        <w:ind w:firstLine="480"/>
        <w:rPr>
          <w:rFonts w:hint="eastAsia" w:ascii="宋体" w:hAnsi="宋体" w:cs="宋体"/>
          <w:sz w:val="24"/>
          <w:szCs w:val="24"/>
        </w:rPr>
      </w:pPr>
      <w:r>
        <w:rPr>
          <w:rFonts w:hint="eastAsia" w:ascii="宋体" w:hAnsi="宋体" w:cs="宋体"/>
          <w:sz w:val="24"/>
          <w:szCs w:val="24"/>
        </w:rPr>
        <w:t>j.因法律、政策发生变化的。</w:t>
      </w:r>
    </w:p>
    <w:p w14:paraId="4D4CADF7">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相关罚则</w:t>
      </w:r>
    </w:p>
    <w:p w14:paraId="6589A1BF">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1）中标供应商在接到拖车指令后，超过时间未到且无法说明有效原因（客观原因）的，发现一次，在当期应支付费用中扣罚200元，合同期内发现第二次该情况的，在当期应支付费用中扣罚400元，以此类推，不设上限。</w:t>
      </w:r>
    </w:p>
    <w:p w14:paraId="6FD9F56D">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2）中标供应商存在违规收费行为，采购人有权要求中标供应商立即整改，对于拒绝整改或多次发生违规行为的，采购人有权责令中标单位停业整顿或终止合同。发现一次，在当期应支付费用中扣罚1000元，合同期内发现第二次该情况的，在当期应支付费用中扣罚2000元，以此类推，不设上限。</w:t>
      </w:r>
    </w:p>
    <w:p w14:paraId="560C6839">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3）中标供应商驾驶拖车人员或移动扣押车辆人员要依法取得与准驾车型相符的机动车驾驶证，且严禁工作期间酒后驾车和疲劳驾驶。发现一次，在当期应支付费用中扣罚1000元，合同期内发现第二次该情况的，在当期应支付费用中扣罚2000元，以此类推，不设上限。</w:t>
      </w:r>
    </w:p>
    <w:p w14:paraId="0430656B">
      <w:pPr>
        <w:widowControl/>
        <w:tabs>
          <w:tab w:val="left" w:pos="1260"/>
        </w:tabs>
        <w:spacing w:line="360" w:lineRule="auto"/>
        <w:ind w:firstLine="480"/>
        <w:rPr>
          <w:rFonts w:hint="eastAsia" w:ascii="宋体" w:hAnsi="宋体" w:cs="宋体"/>
          <w:b/>
          <w:bCs/>
          <w:sz w:val="24"/>
          <w:szCs w:val="24"/>
        </w:rPr>
      </w:pPr>
      <w:r>
        <w:rPr>
          <w:rFonts w:hint="eastAsia" w:ascii="宋体" w:hAnsi="宋体" w:cs="宋体"/>
          <w:b/>
          <w:bCs/>
          <w:sz w:val="24"/>
          <w:szCs w:val="24"/>
        </w:rPr>
        <w:t>（4）除上述情况外，中标供应商违反招标文件中的其他规定的，每发现一次，在当期应支付费用中扣罚100元，不设上限。</w:t>
      </w:r>
    </w:p>
    <w:p w14:paraId="1C422908">
      <w:pPr>
        <w:widowControl/>
        <w:tabs>
          <w:tab w:val="left" w:pos="1260"/>
        </w:tabs>
        <w:spacing w:line="360" w:lineRule="auto"/>
        <w:ind w:firstLine="480"/>
        <w:rPr>
          <w:rFonts w:hint="eastAsia" w:ascii="宋体" w:hAnsi="宋体"/>
          <w:b/>
          <w:bCs/>
        </w:rPr>
      </w:pPr>
      <w:r>
        <w:rPr>
          <w:rFonts w:hint="eastAsia" w:ascii="宋体" w:hAnsi="宋体" w:cs="宋体"/>
          <w:b/>
          <w:bCs/>
          <w:sz w:val="24"/>
          <w:szCs w:val="24"/>
        </w:rPr>
        <w:t>（5）采购人对中标供应商开展日常服务质效考核，对于考核发现的各种违规行为，采购人有权要求中标供应商立即整改，对于拒绝整改或多次发生违规行为的，采购人有权责令中标单位停业整顿或终止合同。</w:t>
      </w:r>
    </w:p>
    <w:p w14:paraId="153F0571">
      <w:pPr>
        <w:tabs>
          <w:tab w:val="left" w:pos="530"/>
        </w:tabs>
        <w:spacing w:line="460" w:lineRule="exact"/>
        <w:ind w:firstLine="480"/>
        <w:rPr>
          <w:rFonts w:hint="eastAsia" w:ascii="宋体" w:hAnsi="宋体" w:cs="Arial"/>
          <w:b/>
          <w:sz w:val="24"/>
          <w:szCs w:val="24"/>
        </w:rPr>
      </w:pPr>
      <w:r>
        <w:rPr>
          <w:rFonts w:hint="eastAsia" w:ascii="宋体" w:hAnsi="宋体" w:cs="Arial"/>
          <w:b/>
          <w:sz w:val="24"/>
          <w:szCs w:val="24"/>
        </w:rPr>
        <w:t>八、付款方式：</w:t>
      </w:r>
    </w:p>
    <w:p w14:paraId="6FC77BAE">
      <w:pPr>
        <w:tabs>
          <w:tab w:val="left" w:pos="530"/>
        </w:tabs>
        <w:spacing w:line="460" w:lineRule="exact"/>
        <w:ind w:firstLine="480"/>
        <w:rPr>
          <w:rFonts w:hint="eastAsia" w:ascii="宋体" w:hAnsi="宋体" w:cs="宋体"/>
          <w:sz w:val="24"/>
          <w:szCs w:val="24"/>
        </w:rPr>
      </w:pPr>
      <w:r>
        <w:rPr>
          <w:rFonts w:ascii="宋体" w:hAnsi="宋体" w:cs="宋体"/>
          <w:sz w:val="24"/>
          <w:szCs w:val="24"/>
        </w:rPr>
        <w:t>本项目无预付款，每半年支付一次，以</w:t>
      </w:r>
      <w:r>
        <w:rPr>
          <w:rFonts w:hint="eastAsia" w:hAnsi="宋体" w:cs="宋体"/>
          <w:sz w:val="24"/>
          <w:szCs w:val="24"/>
        </w:rPr>
        <w:t>竣工验收单、拖车现场图片、甲乙双方签字盖章的工作量确认单</w:t>
      </w:r>
      <w:r>
        <w:rPr>
          <w:rFonts w:ascii="宋体" w:hAnsi="宋体" w:cs="宋体"/>
          <w:sz w:val="24"/>
          <w:szCs w:val="24"/>
        </w:rPr>
        <w:t>等作为请款依据，扣除考核罚款（如有）。且所有款项全部支付至中标单位基本账户。乙方应在付款前10个工作日内开具相应的增值税发票。</w:t>
      </w:r>
    </w:p>
    <w:p w14:paraId="12D646BA">
      <w:pPr>
        <w:tabs>
          <w:tab w:val="left" w:pos="530"/>
        </w:tabs>
        <w:spacing w:line="460" w:lineRule="exact"/>
        <w:ind w:firstLine="480"/>
        <w:rPr>
          <w:rFonts w:hint="eastAsia" w:ascii="宋体" w:hAnsi="宋体" w:cs="宋体"/>
          <w:b/>
          <w:bCs/>
          <w:sz w:val="24"/>
          <w:szCs w:val="24"/>
        </w:rPr>
      </w:pPr>
      <w:r>
        <w:rPr>
          <w:rFonts w:hint="eastAsia" w:ascii="宋体" w:hAnsi="宋体" w:cs="宋体"/>
          <w:b/>
          <w:bCs/>
          <w:sz w:val="24"/>
          <w:szCs w:val="24"/>
        </w:rPr>
        <w:t>九、每辆车最高限价为：</w:t>
      </w:r>
    </w:p>
    <w:tbl>
      <w:tblPr>
        <w:tblStyle w:val="3"/>
        <w:tblW w:w="0" w:type="auto"/>
        <w:tblInd w:w="-20" w:type="dxa"/>
        <w:tblLayout w:type="fixed"/>
        <w:tblCellMar>
          <w:top w:w="10" w:type="dxa"/>
          <w:left w:w="10" w:type="dxa"/>
          <w:bottom w:w="0" w:type="dxa"/>
          <w:right w:w="10" w:type="dxa"/>
        </w:tblCellMar>
      </w:tblPr>
      <w:tblGrid>
        <w:gridCol w:w="791"/>
        <w:gridCol w:w="2340"/>
        <w:gridCol w:w="1704"/>
        <w:gridCol w:w="2520"/>
        <w:gridCol w:w="1596"/>
      </w:tblGrid>
      <w:tr w14:paraId="5182A31C">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C7454C1">
            <w:pPr>
              <w:widowControl/>
              <w:jc w:val="center"/>
              <w:rPr>
                <w:rFonts w:hint="eastAsia" w:ascii="宋体" w:hAnsi="宋体" w:cs="宋体"/>
                <w:color w:val="000000"/>
                <w:sz w:val="24"/>
                <w:szCs w:val="24"/>
              </w:rPr>
            </w:pPr>
            <w:r>
              <w:rPr>
                <w:rFonts w:hint="eastAsia" w:ascii="宋体" w:hAnsi="宋体" w:cs="宋体"/>
                <w:color w:val="000000"/>
                <w:sz w:val="24"/>
                <w:szCs w:val="24"/>
                <w:lang w:bidi="ar"/>
              </w:rPr>
              <w:t>序号</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6B1A37C">
            <w:pPr>
              <w:widowControl/>
              <w:jc w:val="center"/>
              <w:rPr>
                <w:rFonts w:hint="eastAsia" w:ascii="宋体" w:hAnsi="宋体" w:cs="宋体"/>
                <w:color w:val="000000"/>
                <w:sz w:val="24"/>
                <w:szCs w:val="24"/>
              </w:rPr>
            </w:pPr>
            <w:r>
              <w:rPr>
                <w:rFonts w:hint="eastAsia" w:ascii="宋体" w:hAnsi="宋体" w:cs="宋体"/>
                <w:color w:val="000000"/>
                <w:sz w:val="24"/>
                <w:szCs w:val="24"/>
                <w:lang w:bidi="ar"/>
              </w:rPr>
              <w:t>车型</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CFD1464">
            <w:pPr>
              <w:widowControl/>
              <w:jc w:val="center"/>
              <w:rPr>
                <w:rFonts w:hint="eastAsia" w:ascii="宋体" w:hAnsi="宋体" w:cs="宋体"/>
                <w:color w:val="000000"/>
                <w:sz w:val="24"/>
                <w:szCs w:val="24"/>
              </w:rPr>
            </w:pPr>
            <w:r>
              <w:rPr>
                <w:rFonts w:hint="eastAsia" w:ascii="宋体" w:hAnsi="宋体" w:cs="宋体"/>
                <w:color w:val="000000"/>
                <w:sz w:val="24"/>
                <w:szCs w:val="24"/>
                <w:lang w:bidi="ar"/>
              </w:rPr>
              <w:t>拖车预估数量</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CFF0095">
            <w:pPr>
              <w:widowControl/>
              <w:jc w:val="center"/>
              <w:rPr>
                <w:rFonts w:hint="eastAsia" w:ascii="宋体" w:hAnsi="宋体" w:cs="宋体"/>
                <w:color w:val="000000"/>
                <w:sz w:val="24"/>
                <w:szCs w:val="24"/>
              </w:rPr>
            </w:pPr>
            <w:r>
              <w:rPr>
                <w:rFonts w:hint="eastAsia" w:ascii="宋体" w:hAnsi="宋体" w:cs="宋体"/>
                <w:color w:val="000000"/>
                <w:sz w:val="24"/>
                <w:szCs w:val="24"/>
                <w:lang w:bidi="ar"/>
              </w:rPr>
              <w:t>最高限价（元/辆）</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2C4D883">
            <w:pPr>
              <w:widowControl/>
              <w:jc w:val="center"/>
              <w:rPr>
                <w:rFonts w:hint="eastAsia" w:ascii="宋体" w:hAnsi="宋体" w:cs="宋体"/>
                <w:color w:val="000000"/>
                <w:sz w:val="24"/>
                <w:szCs w:val="24"/>
              </w:rPr>
            </w:pPr>
            <w:r>
              <w:rPr>
                <w:rFonts w:hint="eastAsia" w:ascii="宋体" w:hAnsi="宋体" w:cs="宋体"/>
                <w:color w:val="000000"/>
                <w:sz w:val="24"/>
                <w:szCs w:val="24"/>
                <w:lang w:bidi="ar"/>
              </w:rPr>
              <w:t>备注</w:t>
            </w:r>
          </w:p>
        </w:tc>
      </w:tr>
      <w:tr w14:paraId="285FBB9C">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8EED4B2">
            <w:pPr>
              <w:widowControl/>
              <w:jc w:val="center"/>
              <w:rPr>
                <w:rFonts w:hint="eastAsia" w:ascii="宋体" w:hAnsi="宋体" w:cs="宋体"/>
                <w:color w:val="000000"/>
                <w:sz w:val="24"/>
                <w:szCs w:val="24"/>
              </w:rPr>
            </w:pPr>
            <w:r>
              <w:rPr>
                <w:rFonts w:hint="eastAsia" w:ascii="宋体" w:hAnsi="宋体" w:cs="宋体"/>
                <w:color w:val="000000"/>
                <w:sz w:val="24"/>
                <w:szCs w:val="24"/>
                <w:lang w:bidi="ar"/>
              </w:rPr>
              <w:t>1</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4031909">
            <w:pPr>
              <w:widowControl/>
              <w:jc w:val="center"/>
              <w:rPr>
                <w:rFonts w:hint="eastAsia" w:ascii="宋体" w:hAnsi="宋体" w:cs="宋体"/>
                <w:color w:val="000000"/>
                <w:sz w:val="24"/>
                <w:szCs w:val="24"/>
              </w:rPr>
            </w:pPr>
            <w:r>
              <w:rPr>
                <w:rFonts w:hint="eastAsia" w:ascii="宋体" w:hAnsi="宋体" w:cs="宋体"/>
                <w:color w:val="000000"/>
                <w:sz w:val="24"/>
                <w:szCs w:val="24"/>
                <w:lang w:bidi="ar"/>
              </w:rPr>
              <w:t>共享单车</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1C6B90E">
            <w:pPr>
              <w:widowControl/>
              <w:jc w:val="center"/>
              <w:rPr>
                <w:rFonts w:hint="eastAsia" w:ascii="宋体" w:hAnsi="宋体" w:cs="宋体"/>
                <w:color w:val="000000"/>
                <w:sz w:val="24"/>
                <w:szCs w:val="24"/>
              </w:rPr>
            </w:pPr>
            <w:r>
              <w:rPr>
                <w:rFonts w:hint="eastAsia" w:ascii="宋体" w:hAnsi="宋体" w:cs="宋体"/>
                <w:color w:val="000000"/>
                <w:sz w:val="24"/>
                <w:szCs w:val="24"/>
                <w:lang w:bidi="ar"/>
              </w:rPr>
              <w:t>1000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78A1BD3">
            <w:pPr>
              <w:widowControl/>
              <w:jc w:val="center"/>
              <w:rPr>
                <w:rFonts w:hint="eastAsia" w:ascii="宋体" w:hAnsi="宋体" w:cs="宋体"/>
                <w:color w:val="000000"/>
                <w:sz w:val="24"/>
                <w:szCs w:val="24"/>
              </w:rPr>
            </w:pPr>
            <w:r>
              <w:rPr>
                <w:rFonts w:hint="eastAsia" w:ascii="宋体" w:hAnsi="宋体" w:cs="宋体"/>
                <w:color w:val="000000"/>
                <w:sz w:val="24"/>
                <w:szCs w:val="24"/>
                <w:lang w:bidi="ar"/>
              </w:rPr>
              <w:t>20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F873EE9">
            <w:pPr>
              <w:jc w:val="center"/>
              <w:rPr>
                <w:rFonts w:hint="eastAsia" w:ascii="宋体" w:hAnsi="宋体" w:cs="宋体"/>
                <w:color w:val="000000"/>
                <w:sz w:val="24"/>
                <w:szCs w:val="24"/>
              </w:rPr>
            </w:pPr>
          </w:p>
        </w:tc>
      </w:tr>
      <w:tr w14:paraId="71F073CD">
        <w:tblPrEx>
          <w:tblCellMar>
            <w:top w:w="10" w:type="dxa"/>
            <w:left w:w="10" w:type="dxa"/>
            <w:bottom w:w="0" w:type="dxa"/>
            <w:right w:w="10" w:type="dxa"/>
          </w:tblCellMar>
        </w:tblPrEx>
        <w:trPr>
          <w:trHeight w:val="460" w:hRule="atLeast"/>
        </w:trPr>
        <w:tc>
          <w:tcPr>
            <w:tcW w:w="791" w:type="dxa"/>
            <w:vMerge w:val="restart"/>
            <w:tcBorders>
              <w:top w:val="single" w:color="000000" w:sz="4" w:space="0"/>
              <w:left w:val="single" w:color="000000" w:sz="4" w:space="0"/>
              <w:bottom w:val="nil"/>
              <w:right w:val="single" w:color="000000" w:sz="4" w:space="0"/>
            </w:tcBorders>
            <w:tcMar>
              <w:top w:w="10" w:type="dxa"/>
              <w:left w:w="10" w:type="dxa"/>
              <w:right w:w="10" w:type="dxa"/>
            </w:tcMar>
            <w:vAlign w:val="center"/>
          </w:tcPr>
          <w:p w14:paraId="01FC5B6A">
            <w:pPr>
              <w:widowControl/>
              <w:jc w:val="center"/>
              <w:rPr>
                <w:rFonts w:hint="eastAsia" w:ascii="宋体" w:hAnsi="宋体" w:cs="宋体"/>
                <w:color w:val="000000"/>
                <w:sz w:val="24"/>
                <w:szCs w:val="24"/>
              </w:rPr>
            </w:pPr>
            <w:r>
              <w:rPr>
                <w:rFonts w:hint="eastAsia" w:ascii="宋体" w:hAnsi="宋体" w:cs="宋体"/>
                <w:color w:val="000000"/>
                <w:sz w:val="24"/>
                <w:szCs w:val="24"/>
                <w:lang w:bidi="ar"/>
              </w:rPr>
              <w:t>2</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8EA1679">
            <w:pPr>
              <w:widowControl/>
              <w:jc w:val="center"/>
              <w:rPr>
                <w:rFonts w:hint="eastAsia" w:ascii="宋体" w:hAnsi="宋体" w:cs="宋体"/>
                <w:color w:val="000000"/>
                <w:sz w:val="24"/>
                <w:szCs w:val="24"/>
              </w:rPr>
            </w:pPr>
            <w:r>
              <w:rPr>
                <w:rFonts w:hint="eastAsia" w:ascii="宋体" w:hAnsi="宋体" w:cs="宋体"/>
                <w:color w:val="000000"/>
                <w:sz w:val="24"/>
                <w:szCs w:val="24"/>
                <w:lang w:bidi="ar"/>
              </w:rPr>
              <w:t>电瓶车（2轮）</w:t>
            </w:r>
          </w:p>
        </w:tc>
        <w:tc>
          <w:tcPr>
            <w:tcW w:w="1704" w:type="dxa"/>
            <w:vMerge w:val="restart"/>
            <w:tcBorders>
              <w:top w:val="single" w:color="000000" w:sz="4" w:space="0"/>
              <w:left w:val="single" w:color="000000" w:sz="4" w:space="0"/>
              <w:bottom w:val="nil"/>
              <w:right w:val="single" w:color="000000" w:sz="4" w:space="0"/>
            </w:tcBorders>
            <w:tcMar>
              <w:top w:w="10" w:type="dxa"/>
              <w:left w:w="10" w:type="dxa"/>
              <w:right w:w="10" w:type="dxa"/>
            </w:tcMar>
            <w:vAlign w:val="center"/>
          </w:tcPr>
          <w:p w14:paraId="57726E47">
            <w:pPr>
              <w:widowControl/>
              <w:jc w:val="center"/>
              <w:rPr>
                <w:rFonts w:hint="eastAsia" w:ascii="宋体" w:hAnsi="宋体" w:cs="宋体"/>
                <w:color w:val="000000"/>
                <w:sz w:val="24"/>
                <w:szCs w:val="24"/>
              </w:rPr>
            </w:pPr>
            <w:r>
              <w:rPr>
                <w:rFonts w:hint="eastAsia" w:ascii="宋体" w:hAnsi="宋体" w:cs="宋体"/>
                <w:color w:val="000000"/>
                <w:sz w:val="24"/>
                <w:szCs w:val="24"/>
                <w:lang w:bidi="ar"/>
              </w:rPr>
              <w:t>1000</w:t>
            </w:r>
          </w:p>
        </w:tc>
        <w:tc>
          <w:tcPr>
            <w:tcW w:w="2520" w:type="dxa"/>
            <w:vMerge w:val="restart"/>
            <w:tcBorders>
              <w:top w:val="single" w:color="000000" w:sz="4" w:space="0"/>
              <w:left w:val="single" w:color="000000" w:sz="4" w:space="0"/>
              <w:bottom w:val="nil"/>
              <w:right w:val="single" w:color="000000" w:sz="4" w:space="0"/>
            </w:tcBorders>
            <w:tcMar>
              <w:top w:w="10" w:type="dxa"/>
              <w:left w:w="10" w:type="dxa"/>
              <w:right w:w="10" w:type="dxa"/>
            </w:tcMar>
            <w:vAlign w:val="center"/>
          </w:tcPr>
          <w:p w14:paraId="238C256B">
            <w:pPr>
              <w:widowControl/>
              <w:jc w:val="center"/>
              <w:rPr>
                <w:rFonts w:hint="eastAsia" w:ascii="宋体" w:hAnsi="宋体" w:cs="宋体"/>
                <w:color w:val="000000"/>
                <w:sz w:val="24"/>
                <w:szCs w:val="24"/>
              </w:rPr>
            </w:pPr>
            <w:r>
              <w:rPr>
                <w:rFonts w:hint="eastAsia" w:ascii="宋体" w:hAnsi="宋体" w:cs="宋体"/>
                <w:color w:val="000000"/>
                <w:sz w:val="24"/>
                <w:szCs w:val="24"/>
                <w:lang w:bidi="ar"/>
              </w:rPr>
              <w:t>50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3A3EFCE">
            <w:pPr>
              <w:jc w:val="center"/>
              <w:rPr>
                <w:rFonts w:hint="eastAsia" w:ascii="宋体" w:hAnsi="宋体" w:cs="宋体"/>
                <w:color w:val="000000"/>
                <w:sz w:val="24"/>
                <w:szCs w:val="24"/>
              </w:rPr>
            </w:pPr>
          </w:p>
        </w:tc>
      </w:tr>
      <w:tr w14:paraId="465ABC22">
        <w:tblPrEx>
          <w:tblCellMar>
            <w:top w:w="10" w:type="dxa"/>
            <w:left w:w="10" w:type="dxa"/>
            <w:bottom w:w="0" w:type="dxa"/>
            <w:right w:w="10" w:type="dxa"/>
          </w:tblCellMar>
        </w:tblPrEx>
        <w:trPr>
          <w:trHeight w:val="460" w:hRule="atLeast"/>
        </w:trPr>
        <w:tc>
          <w:tcPr>
            <w:tcW w:w="791" w:type="dxa"/>
            <w:vMerge w:val="continue"/>
            <w:tcBorders>
              <w:top w:val="nil"/>
              <w:left w:val="single" w:color="000000" w:sz="4" w:space="0"/>
              <w:bottom w:val="single" w:color="000000" w:sz="4" w:space="0"/>
              <w:right w:val="single" w:color="000000" w:sz="4" w:space="0"/>
            </w:tcBorders>
            <w:tcMar>
              <w:top w:w="10" w:type="dxa"/>
              <w:left w:w="10" w:type="dxa"/>
              <w:right w:w="10" w:type="dxa"/>
            </w:tcMar>
            <w:vAlign w:val="center"/>
          </w:tcPr>
          <w:p w14:paraId="3F668A9E">
            <w:pPr>
              <w:widowControl/>
              <w:jc w:val="center"/>
              <w:rPr>
                <w:rFonts w:hint="eastAsia" w:ascii="宋体" w:hAnsi="宋体" w:cs="宋体"/>
                <w:color w:val="000000"/>
                <w:sz w:val="24"/>
                <w:szCs w:val="24"/>
              </w:rPr>
            </w:pP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33AFE22">
            <w:pPr>
              <w:widowControl/>
              <w:jc w:val="center"/>
              <w:rPr>
                <w:rFonts w:hint="eastAsia" w:ascii="宋体" w:hAnsi="宋体" w:cs="宋体"/>
                <w:color w:val="000000"/>
                <w:sz w:val="24"/>
                <w:szCs w:val="24"/>
              </w:rPr>
            </w:pPr>
            <w:r>
              <w:rPr>
                <w:rFonts w:hint="eastAsia" w:ascii="宋体" w:hAnsi="宋体" w:cs="宋体"/>
                <w:color w:val="000000"/>
                <w:sz w:val="24"/>
                <w:szCs w:val="24"/>
                <w:lang w:bidi="ar"/>
              </w:rPr>
              <w:t>摩托车（2轮）</w:t>
            </w:r>
          </w:p>
        </w:tc>
        <w:tc>
          <w:tcPr>
            <w:tcW w:w="1704" w:type="dxa"/>
            <w:vMerge w:val="continue"/>
            <w:tcBorders>
              <w:top w:val="nil"/>
              <w:left w:val="single" w:color="000000" w:sz="4" w:space="0"/>
              <w:bottom w:val="single" w:color="000000" w:sz="4" w:space="0"/>
              <w:right w:val="single" w:color="000000" w:sz="4" w:space="0"/>
            </w:tcBorders>
            <w:tcMar>
              <w:top w:w="10" w:type="dxa"/>
              <w:left w:w="10" w:type="dxa"/>
              <w:right w:w="10" w:type="dxa"/>
            </w:tcMar>
            <w:vAlign w:val="center"/>
          </w:tcPr>
          <w:p w14:paraId="7737E240">
            <w:pPr>
              <w:widowControl/>
              <w:jc w:val="center"/>
              <w:rPr>
                <w:rFonts w:hint="eastAsia" w:ascii="宋体" w:hAnsi="宋体" w:cs="宋体"/>
                <w:color w:val="000000"/>
                <w:sz w:val="24"/>
                <w:szCs w:val="24"/>
              </w:rPr>
            </w:pPr>
          </w:p>
        </w:tc>
        <w:tc>
          <w:tcPr>
            <w:tcW w:w="2520" w:type="dxa"/>
            <w:vMerge w:val="continue"/>
            <w:tcBorders>
              <w:top w:val="nil"/>
              <w:left w:val="single" w:color="000000" w:sz="4" w:space="0"/>
              <w:bottom w:val="single" w:color="000000" w:sz="4" w:space="0"/>
              <w:right w:val="single" w:color="000000" w:sz="4" w:space="0"/>
            </w:tcBorders>
            <w:tcMar>
              <w:top w:w="10" w:type="dxa"/>
              <w:left w:w="10" w:type="dxa"/>
              <w:right w:w="10" w:type="dxa"/>
            </w:tcMar>
            <w:vAlign w:val="center"/>
          </w:tcPr>
          <w:p w14:paraId="6AC3DB88">
            <w:pPr>
              <w:widowControl/>
              <w:jc w:val="center"/>
              <w:rPr>
                <w:rFonts w:hint="eastAsia" w:ascii="宋体" w:hAnsi="宋体" w:cs="宋体"/>
                <w:color w:val="000000"/>
                <w:sz w:val="24"/>
                <w:szCs w:val="24"/>
              </w:rPr>
            </w:pP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DCF27D1">
            <w:pPr>
              <w:jc w:val="center"/>
              <w:rPr>
                <w:rFonts w:hint="eastAsia" w:ascii="宋体" w:hAnsi="宋体" w:cs="宋体"/>
                <w:color w:val="000000"/>
                <w:sz w:val="24"/>
                <w:szCs w:val="24"/>
              </w:rPr>
            </w:pPr>
          </w:p>
        </w:tc>
      </w:tr>
      <w:tr w14:paraId="19CA2C44">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C56AE89">
            <w:pPr>
              <w:widowControl/>
              <w:jc w:val="center"/>
              <w:rPr>
                <w:rFonts w:hint="eastAsia" w:ascii="宋体" w:hAnsi="宋体" w:cs="宋体"/>
                <w:color w:val="000000"/>
                <w:sz w:val="24"/>
                <w:szCs w:val="24"/>
              </w:rPr>
            </w:pPr>
            <w:r>
              <w:rPr>
                <w:rFonts w:hint="eastAsia" w:ascii="宋体" w:hAnsi="宋体" w:cs="宋体"/>
                <w:color w:val="000000"/>
                <w:sz w:val="24"/>
                <w:szCs w:val="24"/>
                <w:lang w:bidi="ar"/>
              </w:rPr>
              <w:t>3</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3A54C2F">
            <w:pPr>
              <w:widowControl/>
              <w:jc w:val="center"/>
              <w:rPr>
                <w:rFonts w:hint="eastAsia" w:ascii="宋体" w:hAnsi="宋体" w:cs="宋体"/>
                <w:color w:val="000000"/>
                <w:sz w:val="24"/>
                <w:szCs w:val="24"/>
              </w:rPr>
            </w:pPr>
            <w:r>
              <w:rPr>
                <w:rFonts w:hint="eastAsia" w:ascii="宋体" w:hAnsi="宋体" w:cs="宋体"/>
                <w:color w:val="000000"/>
                <w:sz w:val="24"/>
                <w:szCs w:val="24"/>
                <w:lang w:bidi="ar"/>
              </w:rPr>
              <w:t>轿车（5座）</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D608DE9">
            <w:pPr>
              <w:widowControl/>
              <w:jc w:val="center"/>
              <w:rPr>
                <w:rFonts w:hint="eastAsia" w:ascii="宋体" w:hAnsi="宋体" w:cs="宋体"/>
                <w:color w:val="000000"/>
                <w:sz w:val="24"/>
                <w:szCs w:val="24"/>
              </w:rPr>
            </w:pPr>
            <w:r>
              <w:rPr>
                <w:rFonts w:hint="eastAsia" w:hAnsi="宋体" w:cs="宋体"/>
                <w:color w:val="000000"/>
                <w:sz w:val="24"/>
                <w:szCs w:val="24"/>
                <w:lang w:bidi="ar"/>
              </w:rPr>
              <w:t>16</w:t>
            </w:r>
            <w:r>
              <w:rPr>
                <w:rFonts w:hint="eastAsia" w:ascii="宋体" w:hAnsi="宋体" w:cs="宋体"/>
                <w:color w:val="000000"/>
                <w:sz w:val="24"/>
                <w:szCs w:val="24"/>
                <w:lang w:bidi="ar"/>
              </w:rPr>
              <w:t>00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655E7A5">
            <w:pPr>
              <w:widowControl/>
              <w:jc w:val="center"/>
              <w:rPr>
                <w:rFonts w:hint="eastAsia" w:ascii="宋体" w:hAnsi="宋体" w:cs="宋体"/>
                <w:color w:val="000000"/>
                <w:sz w:val="24"/>
                <w:szCs w:val="24"/>
              </w:rPr>
            </w:pPr>
            <w:r>
              <w:rPr>
                <w:rFonts w:hint="eastAsia" w:ascii="宋体" w:hAnsi="宋体" w:cs="宋体"/>
                <w:color w:val="000000"/>
                <w:sz w:val="24"/>
                <w:szCs w:val="24"/>
                <w:lang w:bidi="ar"/>
              </w:rPr>
              <w:t>250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656E668">
            <w:pPr>
              <w:jc w:val="center"/>
              <w:rPr>
                <w:rFonts w:hint="eastAsia" w:ascii="宋体" w:hAnsi="宋体" w:cs="宋体"/>
                <w:color w:val="000000"/>
                <w:sz w:val="24"/>
                <w:szCs w:val="24"/>
              </w:rPr>
            </w:pPr>
          </w:p>
        </w:tc>
      </w:tr>
      <w:tr w14:paraId="78661ADD">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41A2F77">
            <w:pPr>
              <w:widowControl/>
              <w:jc w:val="center"/>
              <w:rPr>
                <w:rFonts w:hint="eastAsia" w:ascii="宋体" w:hAnsi="宋体" w:cs="宋体"/>
                <w:color w:val="000000"/>
                <w:sz w:val="24"/>
                <w:szCs w:val="24"/>
              </w:rPr>
            </w:pPr>
            <w:r>
              <w:rPr>
                <w:rFonts w:hint="eastAsia" w:ascii="宋体" w:hAnsi="宋体" w:cs="宋体"/>
                <w:color w:val="000000"/>
                <w:sz w:val="24"/>
                <w:szCs w:val="24"/>
                <w:lang w:bidi="ar"/>
              </w:rPr>
              <w:t>4</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02569E2">
            <w:pPr>
              <w:widowControl/>
              <w:jc w:val="center"/>
              <w:rPr>
                <w:rFonts w:hint="eastAsia" w:ascii="宋体" w:hAnsi="宋体" w:cs="宋体"/>
                <w:color w:val="000000"/>
                <w:sz w:val="24"/>
                <w:szCs w:val="24"/>
              </w:rPr>
            </w:pPr>
            <w:r>
              <w:rPr>
                <w:rFonts w:hint="eastAsia" w:ascii="宋体" w:hAnsi="宋体" w:cs="宋体"/>
                <w:color w:val="000000"/>
                <w:sz w:val="24"/>
                <w:szCs w:val="24"/>
                <w:lang w:bidi="ar"/>
              </w:rPr>
              <w:t>面包车（7座）</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ED30FBD">
            <w:pPr>
              <w:widowControl/>
              <w:jc w:val="center"/>
              <w:rPr>
                <w:rFonts w:hint="eastAsia" w:ascii="宋体" w:hAnsi="宋体" w:cs="宋体"/>
                <w:color w:val="000000"/>
                <w:sz w:val="24"/>
                <w:szCs w:val="24"/>
              </w:rPr>
            </w:pPr>
            <w:r>
              <w:rPr>
                <w:rFonts w:hint="eastAsia" w:ascii="宋体" w:hAnsi="宋体" w:cs="宋体"/>
                <w:color w:val="000000"/>
                <w:sz w:val="24"/>
                <w:szCs w:val="24"/>
                <w:lang w:bidi="ar"/>
              </w:rPr>
              <w:t>100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004ED34">
            <w:pPr>
              <w:widowControl/>
              <w:jc w:val="center"/>
              <w:rPr>
                <w:rFonts w:hint="eastAsia" w:ascii="宋体" w:hAnsi="宋体" w:cs="宋体"/>
                <w:color w:val="000000"/>
                <w:sz w:val="24"/>
                <w:szCs w:val="24"/>
              </w:rPr>
            </w:pPr>
            <w:r>
              <w:rPr>
                <w:rFonts w:hint="eastAsia" w:ascii="宋体" w:hAnsi="宋体" w:cs="宋体"/>
                <w:color w:val="000000"/>
                <w:sz w:val="24"/>
                <w:szCs w:val="24"/>
                <w:lang w:bidi="ar"/>
              </w:rPr>
              <w:t>300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EB7C07F">
            <w:pPr>
              <w:jc w:val="center"/>
              <w:rPr>
                <w:rFonts w:hint="eastAsia" w:ascii="宋体" w:hAnsi="宋体" w:cs="宋体"/>
                <w:color w:val="000000"/>
                <w:sz w:val="24"/>
                <w:szCs w:val="24"/>
              </w:rPr>
            </w:pPr>
          </w:p>
        </w:tc>
      </w:tr>
      <w:tr w14:paraId="5E4E2177">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1A03C11">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5</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9D0E98F">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商务车（7座）</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E6D5032">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100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42864C3">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299</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7DA86FA">
            <w:pPr>
              <w:jc w:val="center"/>
              <w:rPr>
                <w:rFonts w:hint="eastAsia" w:ascii="宋体" w:hAnsi="宋体" w:cs="宋体"/>
                <w:color w:val="000000"/>
                <w:sz w:val="24"/>
                <w:szCs w:val="24"/>
              </w:rPr>
            </w:pPr>
          </w:p>
        </w:tc>
      </w:tr>
      <w:tr w14:paraId="251FF704">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3BB7FD1">
            <w:pPr>
              <w:widowControl/>
              <w:jc w:val="center"/>
              <w:rPr>
                <w:rFonts w:hint="eastAsia" w:ascii="宋体" w:hAnsi="宋体" w:cs="宋体"/>
                <w:color w:val="000000"/>
                <w:sz w:val="24"/>
                <w:szCs w:val="24"/>
              </w:rPr>
            </w:pPr>
            <w:r>
              <w:rPr>
                <w:rFonts w:hint="eastAsia" w:ascii="宋体" w:hAnsi="宋体" w:cs="宋体"/>
                <w:color w:val="000000"/>
                <w:sz w:val="24"/>
                <w:szCs w:val="24"/>
                <w:lang w:bidi="ar"/>
              </w:rPr>
              <w:t>6</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2EFB3293">
            <w:pPr>
              <w:widowControl/>
              <w:jc w:val="center"/>
              <w:rPr>
                <w:rFonts w:hint="eastAsia" w:ascii="宋体" w:hAnsi="宋体" w:cs="宋体"/>
                <w:color w:val="000000"/>
                <w:sz w:val="24"/>
                <w:szCs w:val="24"/>
              </w:rPr>
            </w:pPr>
            <w:r>
              <w:rPr>
                <w:rFonts w:hint="eastAsia" w:ascii="宋体" w:hAnsi="宋体" w:cs="宋体"/>
                <w:color w:val="000000"/>
                <w:sz w:val="24"/>
                <w:szCs w:val="24"/>
                <w:lang w:bidi="ar"/>
              </w:rPr>
              <w:t>中巴车（10-35座）</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F71CFC5">
            <w:pPr>
              <w:widowControl/>
              <w:jc w:val="center"/>
              <w:rPr>
                <w:rFonts w:hint="eastAsia" w:ascii="宋体" w:hAnsi="宋体" w:cs="宋体"/>
                <w:color w:val="000000"/>
                <w:sz w:val="24"/>
                <w:szCs w:val="24"/>
              </w:rPr>
            </w:pPr>
            <w:r>
              <w:rPr>
                <w:rFonts w:hint="eastAsia" w:ascii="宋体" w:hAnsi="宋体" w:cs="宋体"/>
                <w:color w:val="000000"/>
                <w:sz w:val="24"/>
                <w:szCs w:val="24"/>
              </w:rPr>
              <w:t>30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9D8C437">
            <w:pPr>
              <w:widowControl/>
              <w:jc w:val="center"/>
              <w:rPr>
                <w:rFonts w:hint="eastAsia" w:ascii="宋体" w:hAnsi="宋体" w:cs="宋体"/>
                <w:color w:val="000000"/>
                <w:sz w:val="24"/>
                <w:szCs w:val="24"/>
              </w:rPr>
            </w:pPr>
            <w:r>
              <w:rPr>
                <w:rFonts w:hint="eastAsia" w:ascii="宋体" w:hAnsi="宋体" w:cs="宋体"/>
                <w:color w:val="000000"/>
                <w:sz w:val="24"/>
                <w:szCs w:val="24"/>
                <w:lang w:bidi="ar"/>
              </w:rPr>
              <w:t>360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D573AA4">
            <w:pPr>
              <w:jc w:val="center"/>
              <w:rPr>
                <w:rFonts w:hint="eastAsia" w:ascii="宋体" w:hAnsi="宋体" w:cs="宋体"/>
                <w:color w:val="000000"/>
                <w:sz w:val="24"/>
                <w:szCs w:val="24"/>
              </w:rPr>
            </w:pPr>
          </w:p>
        </w:tc>
      </w:tr>
      <w:tr w14:paraId="368C0499">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E49586E">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7</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A93FB13">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货车（2-5吨）</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3C5F979">
            <w:pPr>
              <w:widowControl/>
              <w:jc w:val="center"/>
              <w:rPr>
                <w:rFonts w:hint="eastAsia" w:ascii="宋体" w:hAnsi="宋体" w:cs="宋体"/>
                <w:color w:val="000000"/>
                <w:sz w:val="24"/>
                <w:szCs w:val="24"/>
              </w:rPr>
            </w:pPr>
            <w:r>
              <w:rPr>
                <w:rFonts w:hint="eastAsia" w:ascii="宋体" w:hAnsi="宋体" w:cs="宋体"/>
                <w:color w:val="000000"/>
                <w:sz w:val="24"/>
                <w:szCs w:val="24"/>
              </w:rPr>
              <w:t>50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3F863DF">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390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FB44F58">
            <w:pPr>
              <w:jc w:val="center"/>
              <w:rPr>
                <w:rFonts w:hint="eastAsia" w:ascii="宋体" w:hAnsi="宋体" w:cs="宋体"/>
                <w:color w:val="000000"/>
                <w:sz w:val="24"/>
                <w:szCs w:val="24"/>
              </w:rPr>
            </w:pPr>
          </w:p>
        </w:tc>
      </w:tr>
      <w:tr w14:paraId="6113D6BD">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1B879BE">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8</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170F68DF">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货车（5-15吨）</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7201062F">
            <w:pPr>
              <w:widowControl/>
              <w:jc w:val="center"/>
              <w:rPr>
                <w:rFonts w:hint="eastAsia" w:ascii="宋体" w:hAnsi="宋体" w:cs="宋体"/>
                <w:color w:val="000000"/>
                <w:sz w:val="24"/>
                <w:szCs w:val="24"/>
              </w:rPr>
            </w:pPr>
            <w:r>
              <w:rPr>
                <w:rFonts w:hint="eastAsia" w:ascii="宋体" w:hAnsi="宋体" w:cs="宋体"/>
                <w:color w:val="000000"/>
                <w:sz w:val="24"/>
                <w:szCs w:val="24"/>
              </w:rPr>
              <w:t>50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C0ABF77">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460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3F582C65">
            <w:pPr>
              <w:jc w:val="center"/>
              <w:rPr>
                <w:rFonts w:hint="eastAsia" w:ascii="宋体" w:hAnsi="宋体" w:cs="宋体"/>
                <w:color w:val="000000"/>
                <w:sz w:val="24"/>
                <w:szCs w:val="24"/>
              </w:rPr>
            </w:pPr>
          </w:p>
        </w:tc>
      </w:tr>
      <w:tr w14:paraId="597FA622">
        <w:tblPrEx>
          <w:tblCellMar>
            <w:top w:w="10" w:type="dxa"/>
            <w:left w:w="10" w:type="dxa"/>
            <w:bottom w:w="0" w:type="dxa"/>
            <w:right w:w="10" w:type="dxa"/>
          </w:tblCellMar>
        </w:tblPrEx>
        <w:trPr>
          <w:trHeight w:val="460" w:hRule="atLeast"/>
        </w:trPr>
        <w:tc>
          <w:tcPr>
            <w:tcW w:w="791"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F045AE2">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9</w:t>
            </w:r>
          </w:p>
        </w:tc>
        <w:tc>
          <w:tcPr>
            <w:tcW w:w="234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0EEB2E62">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货车（15吨以上）</w:t>
            </w:r>
          </w:p>
        </w:tc>
        <w:tc>
          <w:tcPr>
            <w:tcW w:w="1704"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468A6DA7">
            <w:pPr>
              <w:widowControl/>
              <w:jc w:val="center"/>
              <w:rPr>
                <w:rFonts w:hint="eastAsia" w:ascii="宋体" w:hAnsi="宋体" w:cs="宋体"/>
                <w:color w:val="000000"/>
                <w:sz w:val="24"/>
                <w:szCs w:val="24"/>
              </w:rPr>
            </w:pPr>
            <w:r>
              <w:rPr>
                <w:rFonts w:hint="eastAsia" w:ascii="宋体" w:hAnsi="宋体" w:cs="宋体"/>
                <w:color w:val="000000"/>
                <w:sz w:val="24"/>
                <w:szCs w:val="24"/>
              </w:rPr>
              <w:t>30</w:t>
            </w:r>
          </w:p>
        </w:tc>
        <w:tc>
          <w:tcPr>
            <w:tcW w:w="2520"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51D315E5">
            <w:pPr>
              <w:widowControl/>
              <w:jc w:val="center"/>
              <w:rPr>
                <w:rFonts w:hint="eastAsia" w:ascii="宋体" w:hAnsi="宋体" w:cs="宋体"/>
                <w:color w:val="000000"/>
                <w:sz w:val="24"/>
                <w:szCs w:val="24"/>
                <w:lang w:bidi="ar"/>
              </w:rPr>
            </w:pPr>
            <w:r>
              <w:rPr>
                <w:rFonts w:hint="eastAsia" w:ascii="宋体" w:hAnsi="宋体" w:cs="宋体"/>
                <w:color w:val="000000"/>
                <w:sz w:val="24"/>
                <w:szCs w:val="24"/>
                <w:lang w:bidi="ar"/>
              </w:rPr>
              <w:t>560</w:t>
            </w:r>
          </w:p>
        </w:tc>
        <w:tc>
          <w:tcPr>
            <w:tcW w:w="1596" w:type="dxa"/>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14:paraId="6530E385">
            <w:pPr>
              <w:jc w:val="center"/>
              <w:rPr>
                <w:rFonts w:hint="eastAsia" w:ascii="宋体" w:hAnsi="宋体" w:cs="宋体"/>
                <w:color w:val="000000"/>
                <w:sz w:val="24"/>
                <w:szCs w:val="24"/>
              </w:rPr>
            </w:pPr>
          </w:p>
        </w:tc>
      </w:tr>
    </w:tbl>
    <w:p w14:paraId="3A9D77C4">
      <w:pPr>
        <w:pStyle w:val="5"/>
        <w:ind w:firstLine="0"/>
        <w:rPr>
          <w:rFonts w:hint="eastAsia" w:ascii="宋体" w:hAnsi="宋体" w:cs="宋体"/>
          <w:sz w:val="28"/>
          <w:szCs w:val="28"/>
        </w:rPr>
      </w:pPr>
      <w:r>
        <w:rPr>
          <w:rFonts w:hint="eastAsia" w:ascii="宋体" w:hAnsi="宋体" w:cs="宋体"/>
          <w:sz w:val="28"/>
          <w:szCs w:val="28"/>
        </w:rPr>
        <w:t>注：（</w:t>
      </w:r>
      <w:r>
        <w:rPr>
          <w:rFonts w:hint="eastAsia" w:ascii="宋体" w:hAnsi="宋体" w:cs="宋体"/>
          <w:sz w:val="28"/>
          <w:szCs w:val="28"/>
          <w:lang w:val="en-US"/>
        </w:rPr>
        <w:t>1</w:t>
      </w:r>
      <w:r>
        <w:rPr>
          <w:rFonts w:hint="eastAsia" w:ascii="宋体" w:hAnsi="宋体" w:cs="宋体"/>
          <w:sz w:val="28"/>
          <w:szCs w:val="28"/>
        </w:rPr>
        <w:t>）每辆车的报价不能超过规定的每辆车的最高限价；</w:t>
      </w:r>
    </w:p>
    <w:p w14:paraId="54FE2B91">
      <w:r>
        <w:rPr>
          <w:rFonts w:hint="eastAsia" w:ascii="宋体" w:hAnsi="宋体" w:cs="宋体"/>
          <w:sz w:val="28"/>
          <w:szCs w:val="28"/>
        </w:rPr>
        <w:t>（2）以每辆车的拖车数量按实结算。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74F"/>
    <w:rsid w:val="00473314"/>
    <w:rsid w:val="00834E24"/>
    <w:rsid w:val="00B03753"/>
    <w:rsid w:val="00DD674F"/>
    <w:rsid w:val="00DE7647"/>
    <w:rsid w:val="1CDA792F"/>
    <w:rsid w:val="5D8C7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2">
    <w:name w:val="索引 41"/>
    <w:basedOn w:val="1"/>
    <w:next w:val="1"/>
    <w:unhideWhenUsed/>
    <w:qFormat/>
    <w:uiPriority w:val="0"/>
    <w:pPr>
      <w:ind w:left="600"/>
    </w:pPr>
  </w:style>
  <w:style w:type="paragraph" w:customStyle="1" w:styleId="5">
    <w:name w:val="首行缩进"/>
    <w:qFormat/>
    <w:uiPriority w:val="0"/>
    <w:pPr>
      <w:widowControl w:val="0"/>
      <w:ind w:firstLine="480"/>
      <w:jc w:val="both"/>
    </w:pPr>
    <w:rPr>
      <w:rFonts w:ascii="Times New Roman" w:hAnsi="Times New Roman" w:eastAsia="宋体" w:cs="Times New Roman"/>
      <w:sz w:val="21"/>
      <w:lang w:val="zh-CN"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2412</Words>
  <Characters>2489</Characters>
  <Lines>77</Lines>
  <Paragraphs>93</Paragraphs>
  <TotalTime>0</TotalTime>
  <ScaleCrop>false</ScaleCrop>
  <LinksUpToDate>false</LinksUpToDate>
  <CharactersWithSpaces>2490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2025-06-20T02:10:00Z</dcterms:created>
  <dc:creator>WIN 10</dc:creator>
  <cp:lastModifiedBy>merlin</cp:lastModifiedBy>
  <dcterms:modified xsi:type="dcterms:W3CDTF">2025-06-30T07:26:24Z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eyJoZGlkIjoiODU4OTRkZWViM2MzNmVlOWYxNTBkNWI5NDEyNzI3YzEiLCJ1c2VySWQiOiIxMDQ1OTk3NTE0In0=</vt:lpwstr>
  </property>
  <property fmtid="{D5CDD505-2E9C-101B-9397-08002B2CF9AE}" pid="4" name="ICV">
    <vt:lpwstr>2AD2A02EFB3747F99F429258E713F8B9_13</vt:lpwstr>
  </property>
</Properties>
</file>